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Unicode MS" w:eastAsia="Arial Unicode MS" w:hAnsi="Arial Unicode MS" w:cs="Arial Unicode MS"/>
          <w:sz w:val="24"/>
          <w:szCs w:val="24"/>
          <w:rtl/>
        </w:rPr>
        <w:id w:val="271294069"/>
        <w:docPartObj>
          <w:docPartGallery w:val="Cover Pages"/>
          <w:docPartUnique/>
        </w:docPartObj>
      </w:sdtPr>
      <w:sdtEndPr>
        <w:rPr>
          <w:rtl w:val="0"/>
          <w:lang w:bidi="fa-IR"/>
        </w:rPr>
      </w:sdtEndPr>
      <w:sdtContent>
        <w:p w:rsidR="00DC747C" w:rsidRPr="00B17485" w:rsidRDefault="00C33BC0" w:rsidP="00F10F6D">
          <w:pPr>
            <w:rPr>
              <w:rFonts w:ascii="Arial Unicode MS" w:eastAsia="Arial Unicode MS" w:hAnsi="Arial Unicode MS" w:cs="Arial Unicode MS"/>
              <w:sz w:val="24"/>
              <w:szCs w:val="24"/>
            </w:rPr>
          </w:pPr>
          <w:r w:rsidRPr="00B17485">
            <w:rPr>
              <w:rFonts w:ascii="Arial Unicode MS" w:eastAsia="Arial Unicode MS" w:hAnsi="Arial Unicode MS" w:cs="Arial Unicode MS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0048" behindDoc="0" locked="0" layoutInCell="1" allowOverlap="1" wp14:anchorId="2FE2DA5C" wp14:editId="2CDFC30E">
                    <wp:simplePos x="0" y="0"/>
                    <wp:positionH relativeFrom="page">
                      <wp:posOffset>4648200</wp:posOffset>
                    </wp:positionH>
                    <wp:positionV relativeFrom="page">
                      <wp:posOffset>0</wp:posOffset>
                    </wp:positionV>
                    <wp:extent cx="5288281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88281" cy="10058400"/>
                              <a:chOff x="0" y="-1"/>
                              <a:chExt cx="5288404" cy="10058401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-1"/>
                                <a:ext cx="3099816" cy="24288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color w:val="000000" w:themeColor="text1"/>
                                      <w:sz w:val="96"/>
                                      <w:szCs w:val="96"/>
                                      <w:highlight w:val="lightGray"/>
                                    </w:rPr>
                                    <w:alias w:val="Year"/>
                                    <w:id w:val="4358688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7-20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C747C" w:rsidRPr="00FB51E9" w:rsidRDefault="00C33BC0" w:rsidP="00C33BC0">
                                      <w:pPr>
                                        <w:pStyle w:val="NoSpacing"/>
                                        <w:shd w:val="clear" w:color="auto" w:fill="A8D08D" w:themeFill="accent6" w:themeFillTint="99"/>
                                        <w:rPr>
                                          <w:rFonts w:cs="B Nazanin"/>
                                          <w:color w:val="000000" w:themeColor="text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C33BC0">
                                        <w:rPr>
                                          <w:rFonts w:cs="B Nazanin"/>
                                          <w:color w:val="000000" w:themeColor="text1"/>
                                          <w:sz w:val="96"/>
                                          <w:szCs w:val="96"/>
                                          <w:highlight w:val="lightGray"/>
                                        </w:rPr>
                                        <w:t>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615" y="8124824"/>
                                <a:ext cx="4678789" cy="12192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747C" w:rsidRPr="005239EA" w:rsidRDefault="006368C0" w:rsidP="00C33BC0">
                                  <w:pPr>
                                    <w:pStyle w:val="NoSpacing"/>
                                    <w:shd w:val="clear" w:color="auto" w:fill="A8D08D" w:themeFill="accent6" w:themeFillTint="99"/>
                                    <w:spacing w:line="360" w:lineRule="auto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  <w:lang w:bidi="fa-IR"/>
                                    </w:rPr>
                                  </w:pPr>
                                  <w:r w:rsidRPr="005239EA">
                                    <w:rPr>
                                      <w:rFonts w:cs="B Nazanin" w:hint="cs"/>
                                      <w:b/>
                                      <w:bCs/>
                                      <w:color w:val="C00000"/>
                                      <w:sz w:val="200"/>
                                      <w:szCs w:val="60"/>
                                      <w:rtl/>
                                      <w:lang w:bidi="fa-IR"/>
                                    </w:rPr>
                                    <w:t>140</w:t>
                                  </w:r>
                                  <w:r w:rsidR="00FF7ED2" w:rsidRPr="005239EA">
                                    <w:rPr>
                                      <w:rFonts w:cs="B Nazanin" w:hint="cs"/>
                                      <w:b/>
                                      <w:bCs/>
                                      <w:color w:val="C00000"/>
                                      <w:sz w:val="200"/>
                                      <w:szCs w:val="6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FE2DA5C" id="Group 453" o:spid="_x0000_s1026" style="position:absolute;left:0;text-align:left;margin-left:366pt;margin-top:0;width:416.4pt;height:11in;z-index:251650048;mso-height-percent:1000;mso-position-horizontal-relative:page;mso-position-vertical-relative:page;mso-height-percent:1000" coordorigin="" coordsize="5288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" fillcolor="#9cc2e5 [1940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" fillcolor="#deeaf6 [660]" stroked="f" strokecolor="#d8d8d8"/>
                    <v:rect id="Rectangle 461" o:spid="_x0000_s1029" style="position:absolute;left:138;width:30998;height:242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color w:val="000000" w:themeColor="text1"/>
                                <w:sz w:val="96"/>
                                <w:szCs w:val="96"/>
                                <w:highlight w:val="lightGray"/>
                              </w:rPr>
                              <w:alias w:val="Year"/>
                              <w:id w:val="4358688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7-20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747C" w:rsidRPr="00FB51E9" w:rsidRDefault="00C33BC0" w:rsidP="00C33BC0">
                                <w:pPr>
                                  <w:pStyle w:val="NoSpacing"/>
                                  <w:shd w:val="clear" w:color="auto" w:fill="A8D08D" w:themeFill="accent6" w:themeFillTint="99"/>
                                  <w:rPr>
                                    <w:rFonts w:cs="B Nazanin"/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 w:rsidRPr="00C33BC0">
                                  <w:rPr>
                                    <w:rFonts w:cs="B Nazanin"/>
                                    <w:color w:val="000000" w:themeColor="text1"/>
                                    <w:sz w:val="96"/>
                                    <w:szCs w:val="96"/>
                                    <w:highlight w:val="lightGray"/>
                                  </w:rPr>
                                  <w:t>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left:6096;top:81248;width:46788;height:121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DC747C" w:rsidRPr="005239EA" w:rsidRDefault="006368C0" w:rsidP="00C33BC0">
                            <w:pPr>
                              <w:pStyle w:val="NoSpacing"/>
                              <w:shd w:val="clear" w:color="auto" w:fill="A8D08D" w:themeFill="accent6" w:themeFillTint="99"/>
                              <w:spacing w:line="360" w:lineRule="auto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5239EA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00"/>
                                <w:szCs w:val="60"/>
                                <w:rtl/>
                                <w:lang w:bidi="fa-IR"/>
                              </w:rPr>
                              <w:t>140</w:t>
                            </w:r>
                            <w:r w:rsidR="00FF7ED2" w:rsidRPr="005239EA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00"/>
                                <w:szCs w:val="6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D2078B">
            <w:rPr>
              <w:rFonts w:ascii="Arial Unicode MS" w:eastAsia="Arial Unicode MS" w:hAnsi="Arial Unicode MS" w:cs="Arial Unicode MS"/>
              <w:b/>
              <w:bCs/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6D950464" wp14:editId="08D6751B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1579245" cy="1800225"/>
                <wp:effectExtent l="0" t="0" r="190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لوگوی پوهنحی طب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245" cy="180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747C" w:rsidRPr="00B17485" w:rsidRDefault="00AD5562" w:rsidP="00AD5562">
          <w:pPr>
            <w:keepNext w:val="0"/>
            <w:keepLines w:val="0"/>
            <w:bidi w:val="0"/>
            <w:spacing w:after="160" w:line="259" w:lineRule="auto"/>
            <w:ind w:firstLine="0"/>
            <w:jc w:val="left"/>
            <w:rPr>
              <w:rFonts w:ascii="Arial Unicode MS" w:eastAsia="Arial Unicode MS" w:hAnsi="Arial Unicode MS" w:cs="Arial Unicode MS"/>
              <w:bCs/>
              <w:color w:val="002060"/>
              <w:sz w:val="24"/>
              <w:szCs w:val="24"/>
              <w:lang w:bidi="fa-IR"/>
            </w:rPr>
          </w:pPr>
          <w:r>
            <w:rPr>
              <w:rFonts w:ascii="Arial Unicode MS" w:eastAsia="Arial Unicode MS" w:hAnsi="Arial Unicode MS" w:cs="Arial Unicode MS"/>
              <w:noProof/>
              <w:sz w:val="24"/>
              <w:szCs w:val="24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6009640</wp:posOffset>
                </wp:positionV>
                <wp:extent cx="3257550" cy="179070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s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179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Unicode MS" w:eastAsia="Arial Unicode MS" w:hAnsi="Arial Unicode MS" w:cs="Arial Unicode MS"/>
              <w:noProof/>
              <w:sz w:val="24"/>
              <w:szCs w:val="24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4237990</wp:posOffset>
                </wp:positionV>
                <wp:extent cx="3257550" cy="1743075"/>
                <wp:effectExtent l="0" t="0" r="0" b="952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ownload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174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Unicode MS" w:eastAsia="Arial Unicode MS" w:hAnsi="Arial Unicode MS" w:cs="Arial Unicode MS"/>
              <w:noProof/>
              <w:sz w:val="24"/>
              <w:szCs w:val="24"/>
            </w:rPr>
            <w:drawing>
              <wp:anchor distT="0" distB="0" distL="114300" distR="114300" simplePos="0" relativeHeight="251675648" behindDoc="0" locked="0" layoutInCell="1" allowOverlap="1" wp14:anchorId="0778EBD5" wp14:editId="44FC0E0A">
                <wp:simplePos x="0" y="0"/>
                <wp:positionH relativeFrom="column">
                  <wp:posOffset>295275</wp:posOffset>
                </wp:positionH>
                <wp:positionV relativeFrom="paragraph">
                  <wp:posOffset>2456815</wp:posOffset>
                </wp:positionV>
                <wp:extent cx="3257550" cy="1743075"/>
                <wp:effectExtent l="0" t="0" r="0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 (1)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174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3511" w:rsidRPr="00B17485">
            <w:rPr>
              <w:rFonts w:ascii="Arial Unicode MS" w:eastAsia="Arial Unicode MS" w:hAnsi="Arial Unicode MS" w:cs="Arial Unicode MS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426B4E" wp14:editId="4D1B83D9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2752725</wp:posOffset>
                    </wp:positionV>
                    <wp:extent cx="7773441" cy="828675"/>
                    <wp:effectExtent l="0" t="0" r="18415" b="285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3441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Urdu Typesetting" w:hAnsi="Urdu Typesetting" w:cs="B Nazanin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</w:rPr>
                                  <w:alias w:val="Title"/>
                                  <w:id w:val="-10990168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747C" w:rsidRPr="00FB51E9" w:rsidRDefault="00463511" w:rsidP="006368C0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Urdu Typesetting" w:hAnsi="Urdu Typesetting" w:cs="B Nazanin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Urdu Typesetting" w:hAnsi="Urdu Typesetting" w:cs="B Nazanin" w:hint="cs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</w:rPr>
                                      <w:t xml:space="preserve">رهنمود ستاژ پوهنحی </w:t>
                                    </w:r>
                                    <w:r>
                                      <w:rPr>
                                        <w:rFonts w:ascii="Urdu Typesetting" w:hAnsi="Urdu Typesetting" w:cs="B Nazanin" w:hint="cs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  <w:lang w:bidi="fa-IR"/>
                                      </w:rPr>
                                      <w:t>طب معالجه وی</w:t>
                                    </w:r>
                                    <w:r w:rsidR="006368C0">
                                      <w:rPr>
                                        <w:rFonts w:ascii="Urdu Typesetting" w:hAnsi="Urdu Typesetting" w:cs="B Nazanin" w:hint="cs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</w:rPr>
                                      <w:t xml:space="preserve"> پوهنتون غالب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6426B4E" id="Rectangle 16" o:spid="_x0000_s1031" style="position:absolute;margin-left:0;margin-top:216.75pt;width:612.1pt;height:65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" o:allowincell="f" fillcolor="#bdd6ee [1300]" strokecolor="white [3212]" strokeweight="1.5pt">
                    <v:textbox inset="14.4pt,,14.4pt">
                      <w:txbxContent>
                        <w:sdt>
                          <w:sdtPr>
                            <w:rPr>
                              <w:rFonts w:ascii="Urdu Typesetting" w:hAnsi="Urdu Typesetting" w:cs="B Nazanin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alias w:val="Title"/>
                            <w:id w:val="-10990168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C747C" w:rsidRPr="00FB51E9" w:rsidRDefault="00463511" w:rsidP="006368C0">
                              <w:pPr>
                                <w:pStyle w:val="NoSpacing"/>
                                <w:jc w:val="center"/>
                                <w:rPr>
                                  <w:rFonts w:ascii="Urdu Typesetting" w:hAnsi="Urdu Typesetting" w:cs="B Nazanin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rdu Typesetting" w:hAnsi="Urdu Typesetting" w:cs="B Nazanin" w:hint="cs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</w:rPr>
                                <w:t xml:space="preserve">رهنمود ستاژ پوهنحی </w:t>
                              </w:r>
                              <w:r>
                                <w:rPr>
                                  <w:rFonts w:ascii="Urdu Typesetting" w:hAnsi="Urdu Typesetting" w:cs="B Nazanin" w:hint="cs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bidi="fa-IR"/>
                                </w:rPr>
                                <w:t>طب معالجه وی</w:t>
                              </w:r>
                              <w:r w:rsidR="006368C0">
                                <w:rPr>
                                  <w:rFonts w:ascii="Urdu Typesetting" w:hAnsi="Urdu Typesetting" w:cs="B Nazanin" w:hint="cs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</w:rPr>
                                <w:t xml:space="preserve"> پوهنتون غالب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747C" w:rsidRPr="00B17485">
            <w:rPr>
              <w:rFonts w:ascii="Arial Unicode MS" w:eastAsia="Arial Unicode MS" w:hAnsi="Arial Unicode MS" w:cs="Arial Unicode MS"/>
              <w:sz w:val="24"/>
              <w:szCs w:val="24"/>
              <w:rtl/>
              <w:lang w:bidi="fa-IR"/>
            </w:rPr>
            <w:br w:type="page"/>
          </w:r>
        </w:p>
      </w:sdtContent>
    </w:sdt>
    <w:sdt>
      <w:sdtPr>
        <w:rPr>
          <w:rFonts w:ascii="Arial Unicode MS" w:eastAsia="Arial Unicode MS" w:hAnsi="Arial Unicode MS" w:cs="Arial Unicode MS"/>
          <w:b/>
          <w:bCs w:val="0"/>
          <w:color w:val="auto"/>
          <w:sz w:val="24"/>
          <w:szCs w:val="26"/>
          <w:rtl/>
        </w:rPr>
        <w:id w:val="14186050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33716" w:rsidRPr="00B17485" w:rsidRDefault="00733716" w:rsidP="00221E87">
          <w:pPr>
            <w:pStyle w:val="TOCHeading"/>
            <w:jc w:val="center"/>
            <w:rPr>
              <w:rFonts w:ascii="Arial Unicode MS" w:eastAsia="Arial Unicode MS" w:hAnsi="Arial Unicode MS" w:cs="Arial Unicode MS"/>
              <w:b/>
              <w:color w:val="auto"/>
              <w:sz w:val="24"/>
              <w:rtl/>
              <w:lang w:bidi="fa-IR"/>
            </w:rPr>
          </w:pPr>
        </w:p>
        <w:p w:rsidR="00733716" w:rsidRPr="00B17485" w:rsidRDefault="00733716" w:rsidP="00221E87">
          <w:pPr>
            <w:pStyle w:val="TOCHeading"/>
            <w:jc w:val="center"/>
            <w:rPr>
              <w:rFonts w:ascii="Arial Unicode MS" w:eastAsia="Arial Unicode MS" w:hAnsi="Arial Unicode MS" w:cs="Arial Unicode MS"/>
              <w:b/>
              <w:color w:val="auto"/>
              <w:sz w:val="24"/>
              <w:rtl/>
            </w:rPr>
          </w:pPr>
        </w:p>
        <w:p w:rsidR="00733716" w:rsidRPr="00B17485" w:rsidRDefault="00733716" w:rsidP="00221E87">
          <w:pPr>
            <w:pStyle w:val="TOCHeading"/>
            <w:jc w:val="center"/>
            <w:rPr>
              <w:rFonts w:ascii="Arial Unicode MS" w:eastAsia="Arial Unicode MS" w:hAnsi="Arial Unicode MS" w:cs="Arial Unicode MS"/>
              <w:b/>
              <w:color w:val="auto"/>
              <w:sz w:val="24"/>
              <w:rtl/>
            </w:rPr>
          </w:pPr>
        </w:p>
        <w:p w:rsidR="00DC747C" w:rsidRPr="00B17485" w:rsidRDefault="00DC747C" w:rsidP="00221E87">
          <w:pPr>
            <w:pStyle w:val="TOCHeading"/>
            <w:jc w:val="center"/>
            <w:rPr>
              <w:rFonts w:ascii="Arial Unicode MS" w:eastAsia="Arial Unicode MS" w:hAnsi="Arial Unicode MS" w:cs="Arial Unicode MS"/>
              <w:b/>
              <w:sz w:val="24"/>
              <w:rtl/>
            </w:rPr>
          </w:pPr>
          <w:r w:rsidRPr="00B17485">
            <w:rPr>
              <w:rFonts w:ascii="Arial Unicode MS" w:eastAsia="Arial Unicode MS" w:hAnsi="Arial Unicode MS" w:cs="Arial Unicode MS"/>
              <w:b/>
              <w:sz w:val="24"/>
              <w:rtl/>
            </w:rPr>
            <w:t>فهرست مطالب</w:t>
          </w:r>
        </w:p>
        <w:p w:rsidR="00DC747C" w:rsidRPr="00B17485" w:rsidRDefault="00DC747C" w:rsidP="00221E87">
          <w:pPr>
            <w:rPr>
              <w:rFonts w:ascii="Arial Unicode MS" w:eastAsia="Arial Unicode MS" w:hAnsi="Arial Unicode MS" w:cs="Arial Unicode MS"/>
              <w:b/>
              <w:bCs/>
              <w:sz w:val="24"/>
              <w:szCs w:val="24"/>
              <w:rtl/>
            </w:rPr>
          </w:pPr>
        </w:p>
        <w:p w:rsidR="00DC747C" w:rsidRPr="00B17485" w:rsidRDefault="00DC747C" w:rsidP="00221E87">
          <w:pPr>
            <w:rPr>
              <w:rFonts w:ascii="Arial Unicode MS" w:eastAsia="Arial Unicode MS" w:hAnsi="Arial Unicode MS" w:cs="Arial Unicode MS"/>
              <w:sz w:val="24"/>
              <w:szCs w:val="24"/>
              <w:lang w:bidi="fa-IR"/>
            </w:rPr>
          </w:pPr>
        </w:p>
        <w:p w:rsidR="002A6F5C" w:rsidRPr="003A2FDB" w:rsidRDefault="00936D50" w:rsidP="00EC2FE8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1" w:history="1">
            <w:r w:rsidR="002A6F5C" w:rsidRPr="003A2FDB">
              <w:rPr>
                <w:rStyle w:val="Hyperlink"/>
                <w:noProof/>
                <w:color w:val="000000" w:themeColor="text1"/>
                <w:sz w:val="24"/>
                <w:szCs w:val="24"/>
                <w:u w:val="none"/>
                <w:rtl/>
                <w:lang w:bidi="fa-IR"/>
              </w:rPr>
              <w:t>مقدمه</w:t>
            </w:r>
            <w:r w:rsidR="002A6F5C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2</w:t>
          </w:r>
        </w:p>
        <w:p w:rsidR="009A259D" w:rsidRPr="003A2FDB" w:rsidRDefault="00DC747C" w:rsidP="00EC2FE8">
          <w:pPr>
            <w:pStyle w:val="TOC1"/>
            <w:rPr>
              <w:noProof/>
            </w:rPr>
          </w:pPr>
          <w:r w:rsidRPr="003A2FDB">
            <w:fldChar w:fldCharType="begin"/>
          </w:r>
          <w:r w:rsidRPr="003A2FDB">
            <w:instrText xml:space="preserve"> TOC \o "1-3" \h \z \u </w:instrText>
          </w:r>
          <w:r w:rsidRPr="003A2FDB">
            <w:fldChar w:fldCharType="separate"/>
          </w:r>
          <w:hyperlink w:anchor="_Toc22030851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معرفی ستاژ</w:t>
            </w:r>
            <w:r w:rsidR="009A259D" w:rsidRPr="003A2FDB">
              <w:rPr>
                <w:noProof/>
                <w:webHidden/>
              </w:rPr>
              <w:tab/>
            </w:r>
          </w:hyperlink>
          <w:r w:rsidR="00EC2FE8">
            <w:rPr>
              <w:rFonts w:hint="cs"/>
              <w:noProof/>
              <w:rtl/>
              <w:lang w:bidi="fa-IR"/>
            </w:rPr>
            <w:t>2</w:t>
          </w:r>
        </w:p>
        <w:p w:rsidR="003A2FDB" w:rsidRPr="003A2FDB" w:rsidRDefault="003A2FDB" w:rsidP="00EC2FE8">
          <w:pPr>
            <w:pStyle w:val="TOC1"/>
            <w:rPr>
              <w:rtl/>
            </w:rPr>
          </w:pPr>
          <w:r w:rsidRPr="003A2FDB">
            <w:rPr>
              <w:rFonts w:hint="cs"/>
              <w:rtl/>
            </w:rPr>
            <w:t>ستاژر.....................................................................................................................</w:t>
          </w:r>
          <w:r w:rsidR="00EC2FE8">
            <w:rPr>
              <w:rFonts w:hint="cs"/>
              <w:rtl/>
            </w:rPr>
            <w:t>2</w:t>
          </w:r>
        </w:p>
        <w:p w:rsidR="003A2FDB" w:rsidRDefault="003A2FDB" w:rsidP="00EC2FE8">
          <w:pPr>
            <w:rPr>
              <w:rFonts w:ascii="Arial Unicode MS" w:eastAsia="Arial Unicode MS" w:hAnsi="Arial Unicode MS" w:cs="Arial Unicode MS"/>
              <w:rtl/>
            </w:rPr>
          </w:pPr>
          <w:r>
            <w:rPr>
              <w:rFonts w:ascii="Arial Unicode MS" w:eastAsia="Arial Unicode MS" w:hAnsi="Arial Unicode MS" w:cs="Arial Unicode MS" w:hint="cs"/>
              <w:rtl/>
            </w:rPr>
            <w:t>استاد ستاژ..............................................................................................................</w:t>
          </w:r>
          <w:r w:rsidR="00EC2FE8">
            <w:rPr>
              <w:rFonts w:ascii="Arial Unicode MS" w:eastAsia="Arial Unicode MS" w:hAnsi="Arial Unicode MS" w:cs="Arial Unicode MS" w:hint="cs"/>
              <w:rtl/>
            </w:rPr>
            <w:t>2</w:t>
          </w:r>
        </w:p>
        <w:p w:rsidR="003A2FDB" w:rsidRPr="003A2FDB" w:rsidRDefault="003A2FDB" w:rsidP="00EC2FE8">
          <w:pPr>
            <w:rPr>
              <w:rFonts w:ascii="Arial Unicode MS" w:eastAsia="Arial Unicode MS" w:hAnsi="Arial Unicode MS" w:cs="Arial Unicode MS"/>
              <w:rtl/>
            </w:rPr>
          </w:pPr>
          <w:r>
            <w:rPr>
              <w:rFonts w:ascii="Arial Unicode MS" w:eastAsia="Arial Unicode MS" w:hAnsi="Arial Unicode MS" w:cs="Arial Unicode MS" w:hint="cs"/>
              <w:rtl/>
            </w:rPr>
            <w:t>اهداف دوره ستاژ.....................................................................</w:t>
          </w:r>
          <w:r w:rsidR="007C426F">
            <w:rPr>
              <w:rFonts w:ascii="Arial Unicode MS" w:eastAsia="Arial Unicode MS" w:hAnsi="Arial Unicode MS" w:cs="Arial Unicode MS" w:hint="cs"/>
              <w:rtl/>
            </w:rPr>
            <w:t>...............................</w:t>
          </w:r>
          <w:r w:rsidR="00EC2FE8">
            <w:rPr>
              <w:rFonts w:ascii="Arial Unicode MS" w:eastAsia="Arial Unicode MS" w:hAnsi="Arial Unicode MS" w:cs="Arial Unicode MS" w:hint="cs"/>
              <w:rtl/>
            </w:rPr>
            <w:t>2</w:t>
          </w:r>
        </w:p>
        <w:p w:rsidR="009A259D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2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شمولیت ستاژ</w:t>
            </w:r>
            <w:r w:rsidR="009A259D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3</w:t>
          </w:r>
        </w:p>
        <w:p w:rsidR="009A259D" w:rsidRPr="003A2FDB" w:rsidRDefault="00936D50" w:rsidP="003A2FDB">
          <w:pPr>
            <w:pStyle w:val="TOC1"/>
            <w:rPr>
              <w:noProof/>
              <w:sz w:val="24"/>
              <w:szCs w:val="24"/>
              <w:rtl/>
              <w:lang w:bidi="fa-IR"/>
            </w:rPr>
          </w:pPr>
          <w:hyperlink w:anchor="_Toc22030853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مدت ستاژ</w:t>
            </w:r>
            <w:r w:rsidR="009A259D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5</w:t>
          </w:r>
        </w:p>
        <w:p w:rsidR="00EB5EC7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محل ستاژ</w:t>
            </w:r>
            <w:r w:rsidR="00EB5EC7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5</w:t>
          </w:r>
        </w:p>
        <w:p w:rsidR="00EB5EC7" w:rsidRPr="003A2FDB" w:rsidRDefault="00936D50" w:rsidP="00EC2FE8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جدول ستاژ</w:t>
            </w:r>
            <w:r w:rsidR="00EB5EC7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</w:rPr>
            <w:t>6-7</w:t>
          </w:r>
        </w:p>
        <w:p w:rsidR="002A6F5C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2A6F5C" w:rsidRPr="003A2FDB">
              <w:rPr>
                <w:rStyle w:val="Hyperlink"/>
                <w:noProof/>
                <w:sz w:val="24"/>
                <w:szCs w:val="24"/>
                <w:rtl/>
              </w:rPr>
              <w:t>اسناد دوره  ستاژ</w:t>
            </w:r>
            <w:r w:rsidR="002A6F5C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8</w:t>
          </w:r>
        </w:p>
        <w:p w:rsidR="002A6F5C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2A6F5C" w:rsidRPr="003A2FDB">
              <w:rPr>
                <w:rStyle w:val="Hyperlink"/>
                <w:noProof/>
                <w:sz w:val="24"/>
                <w:szCs w:val="24"/>
                <w:rtl/>
              </w:rPr>
              <w:t>شرایط ستاژ در بیرون</w:t>
            </w:r>
            <w:r w:rsidR="002A6F5C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8</w:t>
          </w:r>
        </w:p>
        <w:p w:rsidR="002A6F5C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2A6F5C" w:rsidRPr="003A2FDB">
              <w:rPr>
                <w:rStyle w:val="Hyperlink"/>
                <w:noProof/>
                <w:sz w:val="24"/>
                <w:szCs w:val="24"/>
                <w:rtl/>
              </w:rPr>
              <w:t>عدم انجام ستاژ</w:t>
            </w:r>
            <w:r w:rsidR="002A6F5C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8</w:t>
          </w:r>
        </w:p>
        <w:p w:rsidR="002A6F5C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2A6F5C" w:rsidRPr="003A2FDB">
              <w:rPr>
                <w:rStyle w:val="Hyperlink"/>
                <w:noProof/>
                <w:sz w:val="24"/>
                <w:szCs w:val="24"/>
                <w:rtl/>
                <w:lang w:bidi="fa-IR"/>
              </w:rPr>
              <w:t>مکلفیت های محصل ستاژر</w:t>
            </w:r>
            <w:r w:rsidR="002A6F5C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8</w:t>
          </w:r>
        </w:p>
        <w:p w:rsidR="00EB5EC7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مکلفیت های استاد ستاژ</w:t>
            </w:r>
            <w:r w:rsidR="00EB5EC7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9</w:t>
          </w:r>
        </w:p>
        <w:p w:rsidR="00367830" w:rsidRPr="003A2FDB" w:rsidRDefault="00936D50" w:rsidP="003A2FDB">
          <w:pPr>
            <w:pStyle w:val="TOC1"/>
            <w:rPr>
              <w:noProof/>
              <w:lang w:bidi="fa-IR"/>
            </w:rPr>
          </w:pPr>
          <w:hyperlink w:anchor="_Toc22030853" w:history="1">
            <w:r w:rsidR="00367830" w:rsidRPr="003A2FDB">
              <w:rPr>
                <w:rStyle w:val="Hyperlink"/>
                <w:noProof/>
                <w:sz w:val="24"/>
                <w:szCs w:val="24"/>
                <w:rtl/>
              </w:rPr>
              <w:t xml:space="preserve">مکلفیت های مراکزی که ستاژ در آن پیش برده می شود </w:t>
            </w:r>
            <w:r w:rsidR="00367830" w:rsidRPr="003A2FDB">
              <w:rPr>
                <w:noProof/>
                <w:webHidden/>
              </w:rPr>
              <w:tab/>
            </w:r>
          </w:hyperlink>
          <w:r w:rsidR="00EC2FE8">
            <w:rPr>
              <w:rFonts w:hint="cs"/>
              <w:noProof/>
              <w:rtl/>
              <w:lang w:bidi="fa-IR"/>
            </w:rPr>
            <w:t>10</w:t>
          </w:r>
        </w:p>
        <w:p w:rsidR="00EB5EC7" w:rsidRPr="003A2FDB" w:rsidRDefault="00936D50" w:rsidP="003A2FDB">
          <w:pPr>
            <w:pStyle w:val="TOC1"/>
            <w:rPr>
              <w:noProof/>
              <w:lang w:bidi="fa-IR"/>
            </w:rPr>
          </w:pPr>
          <w:hyperlink w:anchor="_Toc22030853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 xml:space="preserve">مکلفیت های دیپارتمنت پوهنحی در دوره </w:t>
            </w:r>
            <w:r w:rsidR="00EB5EC7" w:rsidRPr="003A2FDB">
              <w:rPr>
                <w:noProof/>
                <w:webHidden/>
              </w:rPr>
              <w:tab/>
            </w:r>
          </w:hyperlink>
          <w:r w:rsidR="00EC2FE8">
            <w:rPr>
              <w:rFonts w:hint="cs"/>
              <w:noProof/>
              <w:rtl/>
              <w:lang w:bidi="fa-IR"/>
            </w:rPr>
            <w:t>10</w:t>
          </w:r>
        </w:p>
        <w:p w:rsidR="00EB5EC7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3" w:history="1">
            <w:r w:rsidR="00EB5EC7" w:rsidRPr="003A2FDB">
              <w:rPr>
                <w:rStyle w:val="Hyperlink"/>
                <w:noProof/>
                <w:sz w:val="24"/>
                <w:szCs w:val="24"/>
                <w:rtl/>
              </w:rPr>
              <w:t>مقررات دوره ستاژ</w:t>
            </w:r>
            <w:r w:rsidR="00EB5EC7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10</w:t>
          </w:r>
        </w:p>
        <w:p w:rsidR="00EC2FE8" w:rsidRDefault="00EC2FE8" w:rsidP="00EC2FE8">
          <w:pPr>
            <w:pStyle w:val="TOC1"/>
            <w:rPr>
              <w:rtl/>
            </w:rPr>
          </w:pPr>
          <w:r>
            <w:rPr>
              <w:rFonts w:hint="cs"/>
              <w:rtl/>
            </w:rPr>
            <w:t>پیگرد های انضباتی ودسپلینی دوره ستاژ.....................................................................11</w:t>
          </w:r>
        </w:p>
        <w:p w:rsidR="00367830" w:rsidRPr="003A2FDB" w:rsidRDefault="00936D50" w:rsidP="00EC2FE8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9" w:history="1">
            <w:r w:rsidR="00367830" w:rsidRPr="003A2FDB">
              <w:rPr>
                <w:rStyle w:val="Hyperlink"/>
                <w:noProof/>
                <w:sz w:val="24"/>
                <w:szCs w:val="24"/>
                <w:rtl/>
              </w:rPr>
              <w:t>تصویب پلان</w:t>
            </w:r>
            <w:r w:rsidR="00367830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  <w:lang w:bidi="fa-IR"/>
            </w:rPr>
            <w:t>12</w:t>
          </w:r>
        </w:p>
        <w:p w:rsidR="00367830" w:rsidRPr="003A2FDB" w:rsidRDefault="00367830" w:rsidP="003A2FDB">
          <w:pPr>
            <w:pStyle w:val="TOC1"/>
          </w:pPr>
        </w:p>
        <w:p w:rsidR="009A259D" w:rsidRPr="003A2FDB" w:rsidRDefault="00936D50" w:rsidP="003A2FDB">
          <w:pPr>
            <w:pStyle w:val="TOC1"/>
            <w:rPr>
              <w:noProof/>
              <w:sz w:val="24"/>
              <w:szCs w:val="24"/>
              <w:lang w:bidi="fa-IR"/>
            </w:rPr>
          </w:pPr>
          <w:hyperlink w:anchor="_Toc22030859" w:history="1">
            <w:r w:rsidR="00367830" w:rsidRPr="003A2FDB">
              <w:rPr>
                <w:rStyle w:val="Hyperlink"/>
                <w:noProof/>
                <w:sz w:val="24"/>
                <w:szCs w:val="24"/>
                <w:rtl/>
              </w:rPr>
              <w:t>ضمایم</w:t>
            </w:r>
            <w:r w:rsidR="009A259D" w:rsidRPr="003A2FDB">
              <w:rPr>
                <w:noProof/>
                <w:webHidden/>
                <w:sz w:val="24"/>
                <w:szCs w:val="24"/>
              </w:rPr>
              <w:tab/>
            </w:r>
          </w:hyperlink>
          <w:r w:rsidR="00EC2FE8">
            <w:rPr>
              <w:rFonts w:hint="cs"/>
              <w:noProof/>
              <w:sz w:val="24"/>
              <w:szCs w:val="24"/>
              <w:rtl/>
            </w:rPr>
            <w:t>12</w:t>
          </w:r>
        </w:p>
        <w:p w:rsidR="00DC747C" w:rsidRPr="00B17485" w:rsidRDefault="00DC747C" w:rsidP="00221E87">
          <w:pPr>
            <w:rPr>
              <w:rFonts w:ascii="Arial Unicode MS" w:eastAsia="Arial Unicode MS" w:hAnsi="Arial Unicode MS" w:cs="Arial Unicode MS"/>
              <w:b/>
              <w:bCs/>
              <w:sz w:val="24"/>
              <w:szCs w:val="24"/>
            </w:rPr>
          </w:pPr>
          <w:r w:rsidRPr="003A2FDB">
            <w:rPr>
              <w:rFonts w:ascii="Arial Unicode MS" w:eastAsia="Arial Unicode MS" w:hAnsi="Arial Unicode MS" w:cs="Arial Unicode MS"/>
              <w:noProof/>
              <w:sz w:val="24"/>
              <w:szCs w:val="24"/>
            </w:rPr>
            <w:fldChar w:fldCharType="end"/>
          </w:r>
        </w:p>
      </w:sdtContent>
    </w:sdt>
    <w:p w:rsidR="00DC747C" w:rsidRPr="00B17485" w:rsidRDefault="00DC747C" w:rsidP="00221E87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</w:p>
    <w:p w:rsidR="00DC747C" w:rsidRPr="00B17485" w:rsidRDefault="00DC747C" w:rsidP="00221E87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</w:p>
    <w:p w:rsidR="00DC747C" w:rsidRPr="00B17485" w:rsidRDefault="00DC747C" w:rsidP="00221E87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</w:p>
    <w:p w:rsidR="00DC747C" w:rsidRPr="00B17485" w:rsidRDefault="00DC747C" w:rsidP="00221E87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</w:p>
    <w:p w:rsidR="00DC747C" w:rsidRPr="00B17485" w:rsidRDefault="00DC747C" w:rsidP="00923F02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p w:rsidR="00DC747C" w:rsidRPr="00B17485" w:rsidRDefault="00DC747C" w:rsidP="00923F02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p w:rsidR="00DC747C" w:rsidRPr="00B17485" w:rsidRDefault="00DC747C" w:rsidP="00923F02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p w:rsidR="00A427E3" w:rsidRPr="00B17485" w:rsidRDefault="00A427E3" w:rsidP="00AB7707">
      <w:pPr>
        <w:pStyle w:val="Heading1"/>
        <w:rPr>
          <w:rFonts w:ascii="Arial Unicode MS" w:eastAsia="Arial Unicode MS" w:hAnsi="Arial Unicode MS" w:cs="Arial Unicode MS"/>
          <w:sz w:val="24"/>
          <w:rtl/>
          <w:lang w:bidi="fa-IR"/>
        </w:rPr>
      </w:pPr>
    </w:p>
    <w:p w:rsidR="005C5ACB" w:rsidRPr="00B17485" w:rsidRDefault="005C5ACB" w:rsidP="00AB7707">
      <w:pPr>
        <w:pStyle w:val="Heading1"/>
        <w:rPr>
          <w:rFonts w:ascii="Arial Unicode MS" w:eastAsia="Arial Unicode MS" w:hAnsi="Arial Unicode MS" w:cs="Arial Unicode MS"/>
          <w:sz w:val="24"/>
          <w:rtl/>
          <w:lang w:bidi="fa-IR"/>
        </w:rPr>
      </w:pPr>
    </w:p>
    <w:p w:rsidR="005C5ACB" w:rsidRPr="00B17485" w:rsidRDefault="005C5ACB" w:rsidP="00AB7707">
      <w:pPr>
        <w:pStyle w:val="Heading1"/>
        <w:rPr>
          <w:rFonts w:ascii="Arial Unicode MS" w:eastAsia="Arial Unicode MS" w:hAnsi="Arial Unicode MS" w:cs="Arial Unicode MS"/>
          <w:sz w:val="24"/>
          <w:rtl/>
          <w:lang w:bidi="fa-IR"/>
        </w:rPr>
      </w:pPr>
    </w:p>
    <w:p w:rsidR="005C5ACB" w:rsidRPr="00B17485" w:rsidRDefault="005C5ACB" w:rsidP="00AB7707">
      <w:pPr>
        <w:pStyle w:val="Heading1"/>
        <w:rPr>
          <w:rFonts w:ascii="Arial Unicode MS" w:eastAsia="Arial Unicode MS" w:hAnsi="Arial Unicode MS" w:cs="Arial Unicode MS"/>
          <w:sz w:val="24"/>
          <w:rtl/>
          <w:lang w:bidi="fa-IR"/>
        </w:rPr>
      </w:pPr>
    </w:p>
    <w:p w:rsidR="006368C0" w:rsidRPr="00B17485" w:rsidRDefault="00B17485" w:rsidP="00B17485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70C0"/>
          <w:sz w:val="24"/>
          <w:szCs w:val="28"/>
        </w:rPr>
        <w:t xml:space="preserve">    </w:t>
      </w:r>
      <w:r w:rsidR="006368C0" w:rsidRPr="00FC7877">
        <w:rPr>
          <w:rFonts w:ascii="Arial Unicode MS" w:eastAsia="Arial Unicode MS" w:hAnsi="Arial Unicode MS" w:cs="Arial Unicode MS"/>
          <w:b/>
          <w:bCs/>
          <w:color w:val="0070C0"/>
          <w:sz w:val="24"/>
          <w:szCs w:val="28"/>
          <w:rtl/>
        </w:rPr>
        <w:t>مقدمه</w:t>
      </w:r>
    </w:p>
    <w:p w:rsidR="006368C0" w:rsidRPr="00B17485" w:rsidRDefault="00463511" w:rsidP="006368C0">
      <w:p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پوهنحی طب معالجوی</w:t>
      </w:r>
      <w:r w:rsidR="006368C0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پوهنتون غالب مطابق با ماموریت خود در راستای آموزش و پرورش محصلان این پوهنحی به منظور ارتقای کیفی و ترویج دانش طبابت نوین در بخش 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طب معالجوی</w:t>
      </w:r>
      <w:r w:rsidR="006368C0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با اتکا به نصاب تحصیلی تایید شده که تمرکز اختصاصی بر شاخه های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زیر مجموعه و اساسات طبابت</w:t>
      </w:r>
      <w:r w:rsidR="006368C0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دارد ، برنامه درس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ی دوره عمومی نظری را در جریان دوازده</w:t>
      </w:r>
      <w:r w:rsidR="006368C0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سمستر پیش برده و با ختم آن در جریان یک سال دوره ستاژ را با برنامه مشخص شامل سیکل های بخش های اختصاصی و بخش های عمومی ترتیب نموده و تطبیق می نماید . بنابراین با توجه به اهمیت آموزشی کلینیکی د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وره ستاژ برای پوهنحی طب معالجوی</w:t>
      </w:r>
      <w:r w:rsidR="006368C0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جهت تطبیق بهتر و بازدهی بیشتر آن ، مستلزم پیروی از رهنمود و برنامه مشخص می باشد که در این رهنمود کوشش به عمل آمده تا مکانیزم مشخصی بر پایه لوایح و مقررات برنامه ریزی گردد تا با اتکا بر آن بتوان اهداف آموزشی را در این دوره نیز به صورت نظام مند تطبیق نمود.</w:t>
      </w:r>
    </w:p>
    <w:p w:rsidR="006368C0" w:rsidRPr="00B17485" w:rsidRDefault="006368C0" w:rsidP="006368C0">
      <w:pPr>
        <w:rPr>
          <w:rFonts w:ascii="Arial Unicode MS" w:eastAsia="Arial Unicode MS" w:hAnsi="Arial Unicode MS" w:cs="Arial Unicode MS"/>
          <w:szCs w:val="24"/>
          <w:rtl/>
        </w:rPr>
      </w:pPr>
    </w:p>
    <w:p w:rsidR="006368C0" w:rsidRPr="00B17485" w:rsidRDefault="006368C0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70C0"/>
          <w:sz w:val="24"/>
          <w:szCs w:val="28"/>
          <w:rtl/>
        </w:rPr>
        <w:t>معرفی ستاژ</w:t>
      </w:r>
    </w:p>
    <w:p w:rsidR="006368C0" w:rsidRDefault="006368C0" w:rsidP="006368C0">
      <w:pPr>
        <w:ind w:left="720" w:hanging="720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color w:val="333333"/>
          <w:sz w:val="20"/>
          <w:szCs w:val="24"/>
        </w:rPr>
        <w:t> </w:t>
      </w:r>
      <w:r w:rsidRPr="00B17485">
        <w:rPr>
          <w:rFonts w:ascii="Arial Unicode MS" w:eastAsia="Arial Unicode MS" w:hAnsi="Arial Unicode MS" w:cs="Arial Unicode MS"/>
          <w:color w:val="333333"/>
          <w:sz w:val="20"/>
          <w:szCs w:val="24"/>
          <w:rtl/>
        </w:rPr>
        <w:t xml:space="preserve">          ستاژ در پوهنحی های طبی عبارت از دوره ای خدمتی است که داوطلبان و مبتدیان برای فراگرفتن معلومات ، کسب مهارت های طبی شامل آشنایی با تجهیزات طبی ،تشخیص ، طرح تداوی ، تکنیک ها و پروسیجرهای تداوی و فراگیری روابط اجتماعی نیک با مریضان ، مریضان داران ، همکاران و پرسونل طبی در حیطه شفاخانه ای و کلینیکی را می بایست سپری نماید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. این دور</w:t>
      </w:r>
      <w:r w:rsidR="00463511" w:rsidRPr="00B17485">
        <w:rPr>
          <w:rFonts w:ascii="Arial Unicode MS" w:eastAsia="Arial Unicode MS" w:hAnsi="Arial Unicode MS" w:cs="Arial Unicode MS"/>
          <w:sz w:val="20"/>
          <w:szCs w:val="24"/>
          <w:rtl/>
        </w:rPr>
        <w:t>ه برای محصلان پوهنحی طب معالجوی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در طول یک سال در نظر گرفته شده است که مطابق با برنامه مشخص در سیکل های تع</w:t>
      </w:r>
      <w:r w:rsidR="00463511" w:rsidRPr="00B17485">
        <w:rPr>
          <w:rFonts w:ascii="Arial Unicode MS" w:eastAsia="Arial Unicode MS" w:hAnsi="Arial Unicode MS" w:cs="Arial Unicode MS"/>
          <w:sz w:val="20"/>
          <w:szCs w:val="24"/>
          <w:rtl/>
        </w:rPr>
        <w:t>یین شده در بخش های اختصاصی طبی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و بخش های عمومی طبی پیش برده می شود، و محصل این فاکولته</w:t>
      </w:r>
      <w:r w:rsidR="00463511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پس از ختم دوره نظری در جریان دوازده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سمستر می بایست شامل این دوره شود و فراغت وی از این رشته مستلزم ختم موفقانه دوره ستاژ می باشد.</w:t>
      </w:r>
    </w:p>
    <w:p w:rsidR="00446267" w:rsidRDefault="00446267" w:rsidP="00446267">
      <w:pPr>
        <w:jc w:val="lowKashida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fa-IR"/>
        </w:rPr>
        <w:t xml:space="preserve">ستاژر: </w:t>
      </w:r>
    </w:p>
    <w:p w:rsidR="00446267" w:rsidRPr="00446267" w:rsidRDefault="00446267" w:rsidP="00446267">
      <w:pPr>
        <w:jc w:val="lowKashida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عبارت است از محصل سمستر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13</w:t>
      </w: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الی 14  فاکولتۀ طب معالجوی که دورۀ ستاژ را سپری مینماید.</w:t>
      </w:r>
    </w:p>
    <w:p w:rsidR="00446267" w:rsidRDefault="00446267" w:rsidP="00446267">
      <w:pPr>
        <w:jc w:val="lowKashida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fa-IR"/>
        </w:rPr>
        <w:t>استاد رهنما:</w:t>
      </w:r>
    </w:p>
    <w:p w:rsidR="00446267" w:rsidRPr="00446267" w:rsidRDefault="00446267" w:rsidP="00446267">
      <w:pPr>
        <w:jc w:val="lowKashida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fa-IR"/>
        </w:rPr>
        <w:t xml:space="preserve"> </w:t>
      </w: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عبارت است از متخصص بخش مربوطه که دورۀ ستاژ را برای ستاژر با درنظرداشت لود کاری بخش ها تنظیم مینماید.</w:t>
      </w:r>
    </w:p>
    <w:p w:rsidR="00446267" w:rsidRPr="00446267" w:rsidRDefault="00446267" w:rsidP="00446267">
      <w:pPr>
        <w:jc w:val="lowKashida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fa-IR"/>
        </w:rPr>
        <w:t>اهداف دورۀ ستاژ در قالب برنامۀ علمی رشتۀ طب معالجوی پوهنتون غالب</w:t>
      </w:r>
    </w:p>
    <w:p w:rsidR="00446267" w:rsidRPr="00446267" w:rsidRDefault="00446267" w:rsidP="00446267">
      <w:pPr>
        <w:jc w:val="lowKashida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هدف اساسی دورۀ ستاژ، منسجم ساختن و نظام مند نمودن دانشی است که محصلان آن را در زمینۀ وقایه، تشخیص و تداوی امراض رشتۀ طب معالجوی  در جریان سپری نمودن  دروس نظری و عملی طی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دوازده</w:t>
      </w: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سمستر کسب نموده اند و همچنان کسب مهارت های استفاده از این دانش در ساحۀ عمل برای ارایه خدمات معیاری طبی در نظام صحی افغانستان از جمله اهداف اساسی دورۀ ستاژ میباشد.</w:t>
      </w:r>
    </w:p>
    <w:p w:rsidR="00446267" w:rsidRPr="00446267" w:rsidRDefault="00446267" w:rsidP="00446267">
      <w:pPr>
        <w:jc w:val="lowKashida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این برنامه برای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2</w:t>
      </w: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سمستر تهیه گردیده است و محتوی آن شامل موارد ذیل میباشد:</w:t>
      </w:r>
    </w:p>
    <w:p w:rsidR="00446267" w:rsidRPr="00446267" w:rsidRDefault="00446267" w:rsidP="00446267">
      <w:pPr>
        <w:keepNext w:val="0"/>
        <w:keepLines w:val="0"/>
        <w:numPr>
          <w:ilvl w:val="0"/>
          <w:numId w:val="14"/>
        </w:numPr>
        <w:contextualSpacing/>
        <w:jc w:val="lowKashida"/>
        <w:rPr>
          <w:rFonts w:ascii="Arial Unicode MS" w:eastAsia="Arial Unicode MS" w:hAnsi="Arial Unicode MS" w:cs="Arial Unicode MS"/>
          <w:sz w:val="24"/>
          <w:szCs w:val="24"/>
          <w:lang w:bidi="fa-IR"/>
        </w:rPr>
      </w:pP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پالیسی حمایوی پوهنتون غالب از ستاژران</w:t>
      </w:r>
    </w:p>
    <w:p w:rsidR="00446267" w:rsidRDefault="00446267" w:rsidP="00446267">
      <w:pPr>
        <w:keepNext w:val="0"/>
        <w:keepLines w:val="0"/>
        <w:numPr>
          <w:ilvl w:val="0"/>
          <w:numId w:val="14"/>
        </w:numPr>
        <w:contextualSpacing/>
        <w:jc w:val="lowKashida"/>
        <w:rPr>
          <w:rFonts w:ascii="Arial Unicode MS" w:eastAsia="Arial Unicode MS" w:hAnsi="Arial Unicode MS" w:cs="Arial Unicode MS"/>
          <w:sz w:val="24"/>
          <w:szCs w:val="24"/>
          <w:lang w:bidi="fa-IR"/>
        </w:rPr>
      </w:pP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مقدمه برای برنامۀ ستاژ</w:t>
      </w:r>
    </w:p>
    <w:p w:rsidR="00446267" w:rsidRPr="00446267" w:rsidRDefault="00446267" w:rsidP="00446267">
      <w:pPr>
        <w:pStyle w:val="ListParagraph"/>
        <w:numPr>
          <w:ilvl w:val="0"/>
          <w:numId w:val="14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44626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روند سپری نمودن دورۀ ستاژ</w:t>
      </w:r>
    </w:p>
    <w:p w:rsidR="00446267" w:rsidRPr="00446267" w:rsidRDefault="00446267" w:rsidP="00446267">
      <w:pPr>
        <w:pStyle w:val="ListParagraph"/>
        <w:numPr>
          <w:ilvl w:val="0"/>
          <w:numId w:val="14"/>
        </w:numPr>
        <w:rPr>
          <w:rFonts w:ascii="Arial Unicode MS" w:eastAsia="Arial Unicode MS" w:hAnsi="Arial Unicode MS" w:cs="Arial Unicode MS"/>
          <w:szCs w:val="24"/>
          <w:rtl/>
        </w:rPr>
      </w:pPr>
    </w:p>
    <w:p w:rsidR="00446267" w:rsidRPr="00446267" w:rsidRDefault="00446267" w:rsidP="00446267">
      <w:pPr>
        <w:keepNext w:val="0"/>
        <w:keepLines w:val="0"/>
        <w:ind w:firstLine="0"/>
        <w:contextualSpacing/>
        <w:jc w:val="lowKashida"/>
        <w:rPr>
          <w:rFonts w:ascii="Arial Unicode MS" w:eastAsia="Arial Unicode MS" w:hAnsi="Arial Unicode MS" w:cs="Arial Unicode MS"/>
          <w:sz w:val="24"/>
          <w:szCs w:val="24"/>
          <w:lang w:bidi="fa-IR"/>
        </w:rPr>
      </w:pPr>
    </w:p>
    <w:p w:rsidR="00446267" w:rsidRDefault="00446267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446267" w:rsidRDefault="00446267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446267" w:rsidRDefault="00446267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446267" w:rsidRDefault="00446267" w:rsidP="00446267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6368C0" w:rsidRPr="00B17485" w:rsidRDefault="006368C0" w:rsidP="00446267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70C0"/>
          <w:sz w:val="24"/>
          <w:szCs w:val="28"/>
          <w:rtl/>
        </w:rPr>
        <w:t>شمولیت به ستاژ</w:t>
      </w:r>
    </w:p>
    <w:p w:rsidR="006368C0" w:rsidRPr="00B17485" w:rsidRDefault="006368C0" w:rsidP="006368C0">
      <w:pPr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>روند ش</w:t>
      </w:r>
      <w:r w:rsidR="00463511"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 xml:space="preserve">مولیت محصلان پس از ختم سمستر دوازده </w:t>
      </w: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>به دوره ستاژ قرار ذیل صورت میگیرد:</w:t>
      </w:r>
    </w:p>
    <w:p w:rsidR="006368C0" w:rsidRPr="00B17485" w:rsidRDefault="00463511" w:rsidP="00D86E5E">
      <w:pPr>
        <w:pStyle w:val="ListParagraph"/>
        <w:keepNext w:val="0"/>
        <w:keepLines w:val="0"/>
        <w:numPr>
          <w:ilvl w:val="0"/>
          <w:numId w:val="1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محصل باید  سمستر دوازدهم</w:t>
      </w:r>
      <w:r w:rsidR="006368C0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را ختم نموده باشد و در امتحانات نهایی کامیاب گردد  و در صورت ناکامی مضمون روند شمولیت وی الی ختم امتحانات چانس دوم و سوم به حالت تعلیق خواهد بود؛</w:t>
      </w:r>
      <w:r w:rsidR="00D86E5E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</w:t>
      </w:r>
    </w:p>
    <w:p w:rsidR="006368C0" w:rsidRPr="00B17485" w:rsidRDefault="006368C0" w:rsidP="009B1716">
      <w:pPr>
        <w:pStyle w:val="ListParagraph"/>
        <w:keepNext w:val="0"/>
        <w:keepLines w:val="0"/>
        <w:numPr>
          <w:ilvl w:val="0"/>
          <w:numId w:val="1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در صورت داشتن مضمون ق</w:t>
      </w:r>
      <w:r w:rsidR="00463511" w:rsidRPr="00B17485">
        <w:rPr>
          <w:rFonts w:ascii="Arial Unicode MS" w:eastAsia="Arial Unicode MS" w:hAnsi="Arial Unicode MS" w:cs="Arial Unicode MS"/>
          <w:sz w:val="20"/>
          <w:szCs w:val="24"/>
          <w:rtl/>
        </w:rPr>
        <w:t>رضه محصل می بایست در سمستر سیزده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،به صنف حضوری مضمون مربوطه به مدت شانزده هفته درسی اشتراک نموده و پس از کامیابی در امتحان نهایی آن مضمون می تواند شامل ستاژ گردد؛</w:t>
      </w:r>
    </w:p>
    <w:p w:rsidR="006368C0" w:rsidRPr="00B17485" w:rsidRDefault="006368C0" w:rsidP="009B1716">
      <w:pPr>
        <w:pStyle w:val="ListParagraph"/>
        <w:keepNext w:val="0"/>
        <w:keepLines w:val="0"/>
        <w:numPr>
          <w:ilvl w:val="0"/>
          <w:numId w:val="1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محصل می بایست قبل از ستاژ مقروضیت مالی سمسترهای گذشته خود را تصفیه نموده باشد و از مدیریت مالی پوهنتون مکتوب معرفی دریافت نماید؛</w:t>
      </w:r>
    </w:p>
    <w:p w:rsidR="006368C0" w:rsidRPr="00B17485" w:rsidRDefault="006368C0" w:rsidP="009B1716">
      <w:pPr>
        <w:pStyle w:val="ListParagraph"/>
        <w:keepNext w:val="0"/>
        <w:keepLines w:val="0"/>
        <w:numPr>
          <w:ilvl w:val="0"/>
          <w:numId w:val="1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محصل با در دست داشتن مکتوب م</w:t>
      </w:r>
      <w:r w:rsidR="00277A2A" w:rsidRPr="00B17485">
        <w:rPr>
          <w:rFonts w:ascii="Arial Unicode MS" w:eastAsia="Arial Unicode MS" w:hAnsi="Arial Unicode MS" w:cs="Arial Unicode MS"/>
          <w:sz w:val="20"/>
          <w:szCs w:val="24"/>
          <w:rtl/>
        </w:rPr>
        <w:t>دیریت مالی از طریق مدیریت ستاژوکارعملی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پوهنحی می تواند فورم ستاژ اخذ نماید و مطابق با تقسیم اوقات  و گروپ بندی مشخص به کلینیک و یا شفاخانه معرفی شود؛</w:t>
      </w:r>
    </w:p>
    <w:p w:rsidR="006368C0" w:rsidRPr="00B17485" w:rsidRDefault="006368C0" w:rsidP="006368C0">
      <w:p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نوت: </w:t>
      </w:r>
    </w:p>
    <w:p w:rsidR="006368C0" w:rsidRPr="00B17485" w:rsidRDefault="006368C0" w:rsidP="009B1716">
      <w:pPr>
        <w:pStyle w:val="ListParagraph"/>
        <w:keepNext w:val="0"/>
        <w:keepLines w:val="0"/>
        <w:numPr>
          <w:ilvl w:val="0"/>
          <w:numId w:val="2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محصل در صورت ستاژ در بیرون کشور نیز مکلف به پرداخت فیس تعیین شده ستاژ می باشد؛</w:t>
      </w:r>
    </w:p>
    <w:p w:rsidR="006368C0" w:rsidRPr="00B17485" w:rsidRDefault="006368C0" w:rsidP="009B1716">
      <w:pPr>
        <w:pStyle w:val="ListParagraph"/>
        <w:keepNext w:val="0"/>
        <w:keepLines w:val="0"/>
        <w:numPr>
          <w:ilvl w:val="0"/>
          <w:numId w:val="2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در صورت عدم تصفیه حساب مالی ، صدور فورم ستاژ و معرفی محصل به سیکل های ستاژ صورت نمی گیرد و به ازای جلساتی که از تاریخ آغاز دوره ستاژ سپری می شود ،غیرحاضر محسوب میگردد؛</w:t>
      </w:r>
    </w:p>
    <w:p w:rsidR="006368C0" w:rsidRPr="00B17485" w:rsidRDefault="006368C0" w:rsidP="009B1716">
      <w:pPr>
        <w:pStyle w:val="ListParagraph"/>
        <w:keepNext w:val="0"/>
        <w:keepLines w:val="0"/>
        <w:numPr>
          <w:ilvl w:val="0"/>
          <w:numId w:val="2"/>
        </w:numPr>
        <w:spacing w:after="160" w:line="259" w:lineRule="auto"/>
        <w:jc w:val="left"/>
        <w:rPr>
          <w:rFonts w:ascii="Arial Unicode MS" w:eastAsia="Arial Unicode MS" w:hAnsi="Arial Unicode MS" w:cs="Arial Unicode MS"/>
          <w:sz w:val="20"/>
          <w:szCs w:val="24"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حضور محصل در کلینیک و یا شفاخانه صرفا با داشتن فورم ستاژ ممکن خواهد بود و در غیرآن حق حضور در ستاژ نداشته و حاضر بودن وی محاسبه نمی گردد. </w:t>
      </w:r>
    </w:p>
    <w:p w:rsidR="006368C0" w:rsidRPr="00446267" w:rsidRDefault="005C6545" w:rsidP="00446267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 w:hint="cs"/>
          <w:b/>
          <w:bCs/>
          <w:color w:val="0070C0"/>
          <w:sz w:val="24"/>
          <w:szCs w:val="28"/>
          <w:rtl/>
        </w:rPr>
        <w:lastRenderedPageBreak/>
        <w:t xml:space="preserve"> </w:t>
      </w:r>
      <w:r w:rsidR="006368C0" w:rsidRPr="00FC7877">
        <w:rPr>
          <w:rFonts w:ascii="Arial Unicode MS" w:eastAsia="Arial Unicode MS" w:hAnsi="Arial Unicode MS" w:cs="Arial Unicode MS"/>
          <w:b/>
          <w:bCs/>
          <w:color w:val="0070C0"/>
          <w:sz w:val="24"/>
          <w:szCs w:val="28"/>
          <w:rtl/>
        </w:rPr>
        <w:t>مدت ستاژ</w:t>
      </w:r>
    </w:p>
    <w:p w:rsidR="004A297C" w:rsidRPr="004A297C" w:rsidRDefault="004A297C" w:rsidP="004A297C">
      <w:pPr>
        <w:spacing w:line="360" w:lineRule="auto"/>
        <w:jc w:val="lowKashida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val="ru-RU" w:bidi="fa-IR"/>
        </w:rPr>
      </w:pPr>
      <w:r w:rsidRPr="00FC7877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4"/>
          <w:rtl/>
          <w:lang w:val="ru-RU" w:bidi="fa-IR"/>
        </w:rPr>
        <w:t>مدت دورۀ ستاژ و تعداد کریدت ها</w:t>
      </w:r>
    </w:p>
    <w:p w:rsidR="004A297C" w:rsidRPr="004A297C" w:rsidRDefault="004A297C" w:rsidP="004A297C">
      <w:pPr>
        <w:spacing w:line="360" w:lineRule="auto"/>
        <w:jc w:val="lowKashida"/>
        <w:rPr>
          <w:rFonts w:ascii="Arial Unicode MS" w:eastAsia="Arial Unicode MS" w:hAnsi="Arial Unicode MS" w:cs="Arial Unicode MS"/>
          <w:sz w:val="24"/>
          <w:szCs w:val="24"/>
          <w:rtl/>
          <w:lang w:val="ru-RU" w:bidi="fa-IR"/>
        </w:rPr>
      </w:pPr>
      <w:r w:rsidRPr="004A297C">
        <w:rPr>
          <w:rFonts w:ascii="Arial Unicode MS" w:eastAsia="Arial Unicode MS" w:hAnsi="Arial Unicode MS" w:cs="Arial Unicode MS" w:hint="cs"/>
          <w:sz w:val="24"/>
          <w:szCs w:val="24"/>
          <w:rtl/>
          <w:lang w:val="ru-RU" w:bidi="fa-IR"/>
        </w:rPr>
        <w:t>دورۀ مکمل ستاژ برای محصلان طب معالجوی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val="ru-RU" w:bidi="fa-IR"/>
        </w:rPr>
        <w:t>2</w:t>
      </w:r>
      <w:r w:rsidRPr="004A297C">
        <w:rPr>
          <w:rFonts w:ascii="Arial Unicode MS" w:eastAsia="Arial Unicode MS" w:hAnsi="Arial Unicode MS" w:cs="Arial Unicode MS" w:hint="cs"/>
          <w:sz w:val="24"/>
          <w:szCs w:val="24"/>
          <w:rtl/>
          <w:lang w:val="ru-RU" w:bidi="fa-IR"/>
        </w:rPr>
        <w:t xml:space="preserve"> سمستر (سمستر ، سیزدهم و چهاردهم ) درنظر گرفته شده است. مجموع کریدت های دورۀ ستاژ 63 کریدت میباشد (هر سمستر 21 کریدت). مجموع ساعات کاری برای ستاژران در بخش های مربوطۀ شفاخانه ها  روزانه 8 ساعت کاری (8 ساعت 50 دقیقه ای)، که  هفته وار میشود  48 ساعت کاری در ساحه تشکیل میدهد. از آنجاییکه 3 ساعت کاری در ساحه مطابق مییباشد به 1 ساعت درسی ، 48 ساعت کاری در هفته مطابق میگردد به 16 ساعت درسی، یعنی 1 کریدت درسی</w:t>
      </w:r>
      <w:r w:rsidRPr="004A297C">
        <w:rPr>
          <w:rFonts w:ascii="Arial Unicode MS" w:eastAsia="Arial Unicode MS" w:hAnsi="Arial Unicode MS" w:cs="Arial Unicode MS"/>
          <w:sz w:val="24"/>
          <w:szCs w:val="24"/>
          <w:lang w:bidi="fa-IR"/>
        </w:rPr>
        <w:t xml:space="preserve"> </w:t>
      </w:r>
      <w:r w:rsidRPr="004A297C">
        <w:rPr>
          <w:rFonts w:ascii="Arial Unicode MS" w:eastAsia="Arial Unicode MS" w:hAnsi="Arial Unicode MS" w:cs="Arial Unicode MS" w:hint="cs"/>
          <w:sz w:val="24"/>
          <w:szCs w:val="24"/>
          <w:rtl/>
          <w:lang w:val="ru-RU" w:bidi="fa-IR"/>
        </w:rPr>
        <w:t xml:space="preserve"> و از اینرو هر هفتۀ کار در ساحه مطابق میگردد به 1 کریدت درسی.</w:t>
      </w:r>
    </w:p>
    <w:p w:rsidR="004A297C" w:rsidRDefault="004A297C" w:rsidP="004A297C">
      <w:pPr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4A297C" w:rsidRDefault="004A297C" w:rsidP="006368C0">
      <w:pPr>
        <w:pStyle w:val="ListParagraph"/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6368C0" w:rsidRPr="00B17485" w:rsidRDefault="006368C0" w:rsidP="006368C0">
      <w:pPr>
        <w:pStyle w:val="ListParagraph"/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  <w:t>محل ستاژ</w:t>
      </w:r>
    </w:p>
    <w:p w:rsidR="006368C0" w:rsidRPr="00B17485" w:rsidRDefault="006368C0" w:rsidP="006368C0">
      <w:pPr>
        <w:pStyle w:val="ListParagraph"/>
        <w:ind w:firstLine="0"/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>محل ستاژ برای</w:t>
      </w:r>
      <w:r w:rsidR="00277A2A"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 xml:space="preserve"> ستاژران سمسترهای سیزدهم و چهادهم پوهنحی طب معالجوی</w:t>
      </w: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 xml:space="preserve"> قرار ذیل می باشد:</w:t>
      </w:r>
    </w:p>
    <w:p w:rsidR="006368C0" w:rsidRPr="00B17485" w:rsidRDefault="006368C0" w:rsidP="00277A2A">
      <w:pPr>
        <w:pStyle w:val="ListParagraph"/>
        <w:ind w:firstLine="0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</w:t>
      </w:r>
    </w:p>
    <w:p w:rsidR="006368C0" w:rsidRPr="00B17485" w:rsidRDefault="006368C0" w:rsidP="009B171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 xml:space="preserve"> :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شفاخانه کادری و معالجوی غالب</w:t>
      </w:r>
      <w:r w:rsidR="00277A2A" w:rsidRPr="00B17485">
        <w:rPr>
          <w:rFonts w:ascii="Arial Unicode MS" w:eastAsia="Arial Unicode MS" w:hAnsi="Arial Unicode MS" w:cs="Arial Unicode MS"/>
          <w:sz w:val="20"/>
          <w:szCs w:val="24"/>
          <w:rtl/>
        </w:rPr>
        <w:t>,شفاخانه های خصوصی تحت قرارداد</w:t>
      </w:r>
      <w:r w:rsidR="004F79F5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با پوهنتون غالب</w:t>
      </w:r>
    </w:p>
    <w:p w:rsidR="006368C0" w:rsidRPr="00B17485" w:rsidRDefault="006368C0" w:rsidP="006368C0">
      <w:pPr>
        <w:pStyle w:val="ListParagraph"/>
        <w:ind w:firstLine="0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نوت:</w:t>
      </w:r>
    </w:p>
    <w:p w:rsidR="006368C0" w:rsidRPr="00B17485" w:rsidRDefault="006368C0" w:rsidP="009B171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در صورتی که کلینیک دندان و شفاخانه کادری غالب نتواند سیکل های تعیین شده را پوشش دهد با در نظر داشت قرارداد رسمی ،ستاژران میتوانند با صلاح دید پوهنحی به سایر کلینیک ها و شفاخانه های خصوصی و در صورت امکان دولتی معرفی گردند.</w:t>
      </w:r>
    </w:p>
    <w:p w:rsidR="006368C0" w:rsidRPr="00B17485" w:rsidRDefault="006368C0" w:rsidP="005E7878">
      <w:pPr>
        <w:ind w:firstLine="0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B17485" w:rsidRDefault="00B17485" w:rsidP="006368C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4A297C" w:rsidRDefault="004A297C" w:rsidP="004A297C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6368C0" w:rsidRPr="00B17485" w:rsidRDefault="004A297C" w:rsidP="004A297C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8"/>
          <w:rtl/>
        </w:rPr>
        <w:lastRenderedPageBreak/>
        <w:t xml:space="preserve">      </w:t>
      </w:r>
      <w:r w:rsidR="006368C0"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  <w:t xml:space="preserve">جدول ستاژ </w:t>
      </w:r>
    </w:p>
    <w:p w:rsidR="006368C0" w:rsidRPr="00B17485" w:rsidRDefault="006368C0" w:rsidP="009B171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 xml:space="preserve">سیکل </w:t>
      </w:r>
      <w:r w:rsidR="005239EA">
        <w:rPr>
          <w:rFonts w:ascii="Arial Unicode MS" w:eastAsia="Arial Unicode MS" w:hAnsi="Arial Unicode MS" w:cs="Arial Unicode MS"/>
          <w:szCs w:val="24"/>
          <w:rtl/>
        </w:rPr>
        <w:t xml:space="preserve">های ستاژ سمسترهای </w:t>
      </w:r>
      <w:r w:rsidR="005239EA">
        <w:rPr>
          <w:rFonts w:ascii="Arial Unicode MS" w:eastAsia="Arial Unicode MS" w:hAnsi="Arial Unicode MS" w:cs="Arial Unicode MS" w:hint="cs"/>
          <w:szCs w:val="24"/>
          <w:rtl/>
        </w:rPr>
        <w:t>سیزده و چهارده</w:t>
      </w:r>
      <w:r w:rsidR="005239EA">
        <w:rPr>
          <w:rFonts w:ascii="Arial Unicode MS" w:eastAsia="Arial Unicode MS" w:hAnsi="Arial Unicode MS" w:cs="Arial Unicode MS"/>
          <w:szCs w:val="24"/>
          <w:rtl/>
        </w:rPr>
        <w:t xml:space="preserve"> پوهنحی </w:t>
      </w:r>
      <w:r w:rsidR="005239EA">
        <w:rPr>
          <w:rFonts w:ascii="Arial Unicode MS" w:eastAsia="Arial Unicode MS" w:hAnsi="Arial Unicode MS" w:cs="Arial Unicode MS" w:hint="cs"/>
          <w:szCs w:val="24"/>
          <w:rtl/>
        </w:rPr>
        <w:t xml:space="preserve">طب معالجوی </w:t>
      </w:r>
      <w:r w:rsidRPr="00B17485">
        <w:rPr>
          <w:rFonts w:ascii="Arial Unicode MS" w:eastAsia="Arial Unicode MS" w:hAnsi="Arial Unicode MS" w:cs="Arial Unicode MS"/>
          <w:szCs w:val="24"/>
          <w:rtl/>
        </w:rPr>
        <w:t>با در نظر داشت ساعات و هفته های آن قرار جدول ذیل می باشد</w:t>
      </w:r>
      <w:r w:rsidR="009228AD" w:rsidRPr="00B17485">
        <w:rPr>
          <w:rFonts w:ascii="Arial Unicode MS" w:eastAsia="Arial Unicode MS" w:hAnsi="Arial Unicode MS" w:cs="Arial Unicode MS"/>
          <w:szCs w:val="24"/>
          <w:rtl/>
        </w:rPr>
        <w:t>؛</w:t>
      </w:r>
      <w:r w:rsidRPr="00B17485">
        <w:rPr>
          <w:rFonts w:ascii="Arial Unicode MS" w:eastAsia="Arial Unicode MS" w:hAnsi="Arial Unicode MS" w:cs="Arial Unicode MS"/>
          <w:szCs w:val="24"/>
          <w:rtl/>
        </w:rPr>
        <w:t xml:space="preserve"> </w:t>
      </w:r>
    </w:p>
    <w:p w:rsidR="006368C0" w:rsidRPr="00B17485" w:rsidRDefault="006368C0" w:rsidP="009B171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در دوره ستاژ در هر سمستر 21 کریدیت و هر کریدیت معادل با یک هفته درسی محاسبه میشود</w:t>
      </w:r>
      <w:r w:rsidR="009228AD" w:rsidRPr="00B17485">
        <w:rPr>
          <w:rFonts w:ascii="Arial Unicode MS" w:eastAsia="Arial Unicode MS" w:hAnsi="Arial Unicode MS" w:cs="Arial Unicode MS"/>
          <w:szCs w:val="24"/>
          <w:rtl/>
        </w:rPr>
        <w:t>.</w:t>
      </w:r>
    </w:p>
    <w:p w:rsidR="004A297C" w:rsidRPr="004A297C" w:rsidRDefault="004A297C" w:rsidP="004A297C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W w:w="1017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170"/>
        <w:gridCol w:w="990"/>
        <w:gridCol w:w="1080"/>
        <w:gridCol w:w="3510"/>
      </w:tblGrid>
      <w:tr w:rsidR="00AF0769" w:rsidRPr="003B4B04" w:rsidTr="00692D69">
        <w:trPr>
          <w:trHeight w:val="1068"/>
        </w:trPr>
        <w:tc>
          <w:tcPr>
            <w:tcW w:w="10170" w:type="dxa"/>
            <w:gridSpan w:val="6"/>
            <w:vAlign w:val="center"/>
          </w:tcPr>
          <w:p w:rsidR="00AF0769" w:rsidRPr="003B4B04" w:rsidRDefault="00AF0769" w:rsidP="00512331">
            <w:pPr>
              <w:pStyle w:val="Heading1"/>
              <w:spacing w:before="0"/>
              <w:jc w:val="center"/>
              <w:rPr>
                <w:b/>
                <w:bCs w:val="0"/>
              </w:rPr>
            </w:pPr>
            <w:bookmarkStart w:id="0" w:name="_Toc525542333"/>
            <w:r w:rsidRPr="003B4B04">
              <w:rPr>
                <w:b/>
              </w:rPr>
              <w:t>MD, Degree Internship Program Time Table</w:t>
            </w:r>
            <w:bookmarkEnd w:id="0"/>
          </w:p>
          <w:p w:rsidR="00AF0769" w:rsidRPr="003B4B04" w:rsidRDefault="00AF0769" w:rsidP="00512331">
            <w:pPr>
              <w:pStyle w:val="Heading1"/>
              <w:spacing w:before="0"/>
              <w:jc w:val="center"/>
              <w:rPr>
                <w:b/>
                <w:bCs w:val="0"/>
              </w:rPr>
            </w:pPr>
            <w:bookmarkStart w:id="1" w:name="_Toc525542334"/>
            <w:r w:rsidRPr="003B4B04">
              <w:rPr>
                <w:b/>
              </w:rPr>
              <w:t>For 72 Weeks ( in Surgery Specialty Selection )</w:t>
            </w:r>
            <w:bookmarkEnd w:id="1"/>
          </w:p>
        </w:tc>
      </w:tr>
      <w:tr w:rsidR="00AF0769" w:rsidRPr="009B2585" w:rsidTr="00692D69">
        <w:trPr>
          <w:trHeight w:val="195"/>
        </w:trPr>
        <w:tc>
          <w:tcPr>
            <w:tcW w:w="1080" w:type="dxa"/>
            <w:vMerge w:val="restart"/>
            <w:textDirection w:val="tbRl"/>
            <w:vAlign w:val="center"/>
          </w:tcPr>
          <w:p w:rsidR="00AF0769" w:rsidRPr="009B2585" w:rsidRDefault="00AF0769" w:rsidP="00512331">
            <w:pPr>
              <w:ind w:left="113" w:right="113"/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>Recommended specialties</w:t>
            </w:r>
          </w:p>
        </w:tc>
        <w:tc>
          <w:tcPr>
            <w:tcW w:w="1170" w:type="dxa"/>
            <w:vMerge w:val="restart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Duration (Week)</w:t>
            </w:r>
          </w:p>
        </w:tc>
        <w:tc>
          <w:tcPr>
            <w:tcW w:w="2070" w:type="dxa"/>
            <w:gridSpan w:val="2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Intern by Gender</w:t>
            </w:r>
          </w:p>
        </w:tc>
        <w:tc>
          <w:tcPr>
            <w:tcW w:w="3510" w:type="dxa"/>
            <w:vMerge w:val="restart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F0769" w:rsidRPr="009B2585" w:rsidTr="00692D69">
        <w:trPr>
          <w:trHeight w:val="768"/>
        </w:trPr>
        <w:tc>
          <w:tcPr>
            <w:tcW w:w="1080" w:type="dxa"/>
            <w:vMerge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Female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Male</w:t>
            </w:r>
          </w:p>
        </w:tc>
        <w:tc>
          <w:tcPr>
            <w:tcW w:w="3510" w:type="dxa"/>
            <w:vMerge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Abdominal Surgery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Thoracic Surgery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3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Urology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Neurosurgery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5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Orthopedics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6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Pediatrics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7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Emergency Surgery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16</w:t>
            </w:r>
          </w:p>
        </w:tc>
        <w:tc>
          <w:tcPr>
            <w:tcW w:w="3510" w:type="dxa"/>
            <w:vMerge w:val="restart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For male inters the specialty of </w:t>
            </w:r>
            <w:proofErr w:type="spellStart"/>
            <w:r w:rsidRPr="009B2585">
              <w:rPr>
                <w:b/>
                <w:bCs/>
              </w:rPr>
              <w:t>Ob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 w:rsidRPr="009B2585">
              <w:rPr>
                <w:b/>
                <w:bCs/>
              </w:rPr>
              <w:t>Gyn</w:t>
            </w:r>
            <w:proofErr w:type="spellEnd"/>
            <w:r w:rsidRPr="009B25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9B2585">
              <w:rPr>
                <w:b/>
                <w:bCs/>
              </w:rPr>
              <w:t>8 Week</w:t>
            </w:r>
            <w:r>
              <w:rPr>
                <w:b/>
                <w:bCs/>
              </w:rPr>
              <w:t>)</w:t>
            </w:r>
            <w:r w:rsidRPr="009B2585">
              <w:rPr>
                <w:b/>
                <w:bCs/>
              </w:rPr>
              <w:t xml:space="preserve"> are substituted to surgery emergency Ward</w:t>
            </w: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8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Obstetrics &amp; Gynecology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None</w:t>
            </w:r>
          </w:p>
        </w:tc>
        <w:tc>
          <w:tcPr>
            <w:tcW w:w="3510" w:type="dxa"/>
            <w:vMerge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9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Ophthalmology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10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>ENT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11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>Infectious diseases &amp; TB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Internal Medicine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 Week in each departments</w:t>
            </w: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13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Neurology &amp; Psychiatry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14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Medical Imaging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</w:p>
        </w:tc>
      </w:tr>
      <w:tr w:rsidR="00AF0769" w:rsidRPr="009B2585" w:rsidTr="00692D69">
        <w:trPr>
          <w:trHeight w:val="850"/>
        </w:trPr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Total</w:t>
            </w:r>
          </w:p>
        </w:tc>
        <w:tc>
          <w:tcPr>
            <w:tcW w:w="2340" w:type="dxa"/>
            <w:vAlign w:val="center"/>
          </w:tcPr>
          <w:p w:rsidR="00AF0769" w:rsidRPr="009B2585" w:rsidRDefault="00AF0769" w:rsidP="00512331">
            <w:pPr>
              <w:rPr>
                <w:b/>
                <w:bCs/>
              </w:rPr>
            </w:pPr>
            <w:r w:rsidRPr="009B2585">
              <w:rPr>
                <w:b/>
                <w:bCs/>
              </w:rPr>
              <w:t xml:space="preserve">14 Specialties </w:t>
            </w:r>
          </w:p>
        </w:tc>
        <w:tc>
          <w:tcPr>
            <w:tcW w:w="117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72</w:t>
            </w:r>
          </w:p>
        </w:tc>
        <w:tc>
          <w:tcPr>
            <w:tcW w:w="99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78</w:t>
            </w:r>
          </w:p>
        </w:tc>
        <w:tc>
          <w:tcPr>
            <w:tcW w:w="108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72</w:t>
            </w:r>
          </w:p>
        </w:tc>
        <w:tc>
          <w:tcPr>
            <w:tcW w:w="3510" w:type="dxa"/>
            <w:vAlign w:val="center"/>
          </w:tcPr>
          <w:p w:rsidR="00AF0769" w:rsidRPr="009B2585" w:rsidRDefault="00AF0769" w:rsidP="00512331">
            <w:pPr>
              <w:jc w:val="center"/>
              <w:rPr>
                <w:b/>
                <w:bCs/>
              </w:rPr>
            </w:pPr>
            <w:r w:rsidRPr="009B2585">
              <w:rPr>
                <w:b/>
                <w:bCs/>
              </w:rPr>
              <w:t>24 W (24 Credit each semester</w:t>
            </w:r>
          </w:p>
        </w:tc>
      </w:tr>
    </w:tbl>
    <w:p w:rsidR="004A297C" w:rsidRPr="00AF0769" w:rsidRDefault="004A297C" w:rsidP="00AF0769">
      <w:pPr>
        <w:ind w:left="644" w:firstLine="0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4A297C" w:rsidRPr="004A297C" w:rsidRDefault="004A297C" w:rsidP="004A297C">
      <w:pPr>
        <w:ind w:left="644" w:firstLine="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A297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</w:t>
      </w:r>
    </w:p>
    <w:p w:rsidR="005E7878" w:rsidRPr="00B17485" w:rsidRDefault="004A297C" w:rsidP="004A297C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 w:hint="cs"/>
          <w:b/>
          <w:bCs/>
          <w:color w:val="002060"/>
          <w:sz w:val="24"/>
          <w:szCs w:val="28"/>
          <w:rtl/>
        </w:rPr>
        <w:t xml:space="preserve">  ا</w:t>
      </w:r>
      <w:r w:rsidR="005E7878"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 xml:space="preserve">سناد دوره ستاژ </w:t>
      </w:r>
    </w:p>
    <w:p w:rsidR="005E7878" w:rsidRPr="00B17485" w:rsidRDefault="005E7878" w:rsidP="005E7878">
      <w:pPr>
        <w:pStyle w:val="ListParagraph"/>
        <w:ind w:left="1004" w:firstLine="0"/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>محصلان در دوره ستاژ مکلف می باشند تا مدارک ذیل را تکمیل نمایند:</w:t>
      </w:r>
    </w:p>
    <w:p w:rsidR="005E7878" w:rsidRPr="00B17485" w:rsidRDefault="005E7878" w:rsidP="009B171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مکتوب معرفی آمریت مالی پوهنتون پس از تصفیه</w:t>
      </w:r>
      <w:r w:rsidR="004F79F5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حساب جهت ارائه به مدیریت ستاژوکارعملی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پوهنحی ؛</w:t>
      </w:r>
    </w:p>
    <w:p w:rsidR="005E7878" w:rsidRPr="00B17485" w:rsidRDefault="005E7878" w:rsidP="009B171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فورمه ستاژ که بعد از احکام ریاست پوهنحی به رویت مکتوب تصفیه ح</w:t>
      </w:r>
      <w:r w:rsidR="004F79F5" w:rsidRPr="00B17485">
        <w:rPr>
          <w:rFonts w:ascii="Arial Unicode MS" w:eastAsia="Arial Unicode MS" w:hAnsi="Arial Unicode MS" w:cs="Arial Unicode MS"/>
          <w:sz w:val="20"/>
          <w:szCs w:val="24"/>
          <w:rtl/>
        </w:rPr>
        <w:t>ساب مالی ، از جانب مدیریت ستاژوکارعملی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 صادر می شود؛</w:t>
      </w:r>
    </w:p>
    <w:p w:rsidR="005E7878" w:rsidRPr="00B17485" w:rsidRDefault="005E7878" w:rsidP="009B171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4"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لاک بوک (کتابچه ثبت مراجعین)به ازای هر سیکل .</w:t>
      </w:r>
    </w:p>
    <w:p w:rsidR="005E7878" w:rsidRPr="00B17485" w:rsidRDefault="00EB5EC7" w:rsidP="005E7878">
      <w:pPr>
        <w:pStyle w:val="ListParagraph"/>
        <w:ind w:left="1004" w:firstLine="0"/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نوت: نمونه مکتوب ، فورمه ستاژ و لاک بوک در ضمیمه قرار دارد.</w:t>
      </w:r>
    </w:p>
    <w:p w:rsidR="00EB5EC7" w:rsidRPr="00B17485" w:rsidRDefault="00EB5EC7" w:rsidP="005E7878">
      <w:pPr>
        <w:pStyle w:val="ListParagraph"/>
        <w:ind w:left="1004" w:firstLine="0"/>
        <w:rPr>
          <w:rFonts w:ascii="Arial Unicode MS" w:eastAsia="Arial Unicode MS" w:hAnsi="Arial Unicode MS" w:cs="Arial Unicode MS"/>
          <w:sz w:val="20"/>
          <w:szCs w:val="24"/>
          <w:rtl/>
        </w:rPr>
      </w:pPr>
    </w:p>
    <w:p w:rsidR="001A62BF" w:rsidRDefault="001A62BF" w:rsidP="005E7878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1A62BF" w:rsidRDefault="001A62BF" w:rsidP="005E7878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5E7878" w:rsidRPr="00B17485" w:rsidRDefault="005E7878" w:rsidP="005E7878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  <w:t>شرایط ستاژ در بیرون از مراکز تعیین شده</w:t>
      </w:r>
    </w:p>
    <w:p w:rsidR="005E7878" w:rsidRPr="00B17485" w:rsidRDefault="005E7878" w:rsidP="005E7878">
      <w:pPr>
        <w:pStyle w:val="ListParagraph"/>
        <w:ind w:left="1004" w:firstLine="0"/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0"/>
          <w:szCs w:val="24"/>
          <w:rtl/>
        </w:rPr>
        <w:t>در صورتیکه محصل  تقاضای پیشبرد ستاژ در سایر نهادهای داخلی و یا خارجی را داشته باشد با شرایط ذیل امکان پذیر است:</w:t>
      </w:r>
    </w:p>
    <w:p w:rsidR="005E7878" w:rsidRPr="00B17485" w:rsidRDefault="005E7878" w:rsidP="004F79F5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محصل مکلف </w:t>
      </w:r>
      <w:r w:rsidR="004F79F5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به پرداخت 20 در صد فیس ستاژ خود </w:t>
      </w:r>
      <w:r w:rsidR="00E24B0B">
        <w:rPr>
          <w:rFonts w:ascii="Arial Unicode MS" w:eastAsia="Arial Unicode MS" w:hAnsi="Arial Unicode MS" w:cs="Arial Unicode MS" w:hint="cs"/>
          <w:sz w:val="20"/>
          <w:szCs w:val="24"/>
          <w:rtl/>
          <w:lang w:bidi="fa-IR"/>
        </w:rPr>
        <w:t xml:space="preserve">به پوهنتون </w:t>
      </w:r>
      <w:r w:rsidR="004F79F5" w:rsidRPr="00B17485">
        <w:rPr>
          <w:rFonts w:ascii="Arial Unicode MS" w:eastAsia="Arial Unicode MS" w:hAnsi="Arial Unicode MS" w:cs="Arial Unicode MS"/>
          <w:sz w:val="20"/>
          <w:szCs w:val="24"/>
          <w:rtl/>
        </w:rPr>
        <w:t xml:space="preserve">میباشد </w:t>
      </w: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؛</w:t>
      </w:r>
    </w:p>
    <w:p w:rsidR="005E7878" w:rsidRPr="00B17485" w:rsidRDefault="005E7878" w:rsidP="009B1716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موافقه اداره پوهنحی و مسوول ستاژ برای تقاضای محصل ضمن موجودیت دلایل موجه الزامی می باشد؛</w:t>
      </w:r>
    </w:p>
    <w:p w:rsidR="005E7878" w:rsidRPr="00B17485" w:rsidRDefault="005E7878" w:rsidP="009B1716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هزینه و فیس دوره های ستاژ در سایر مراکز بر عهده محصل می باشد؛</w:t>
      </w:r>
    </w:p>
    <w:p w:rsidR="005E7878" w:rsidRPr="00B17485" w:rsidRDefault="005E7878" w:rsidP="009B1716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محصل می بایست کتابچه ثبت مریض (لاک بوک) ، فورم ستاژ و سایر مدارک تایید شده و رسمی که شواهد پیشبرد ستاژ وی در سایر مراکز می باشد را به پوهنحی ارائه نماید.</w:t>
      </w:r>
    </w:p>
    <w:p w:rsidR="005E7878" w:rsidRPr="00B17485" w:rsidRDefault="005E7878" w:rsidP="005E7878">
      <w:pPr>
        <w:ind w:firstLine="0"/>
        <w:rPr>
          <w:rFonts w:ascii="Arial Unicode MS" w:eastAsia="Arial Unicode MS" w:hAnsi="Arial Unicode MS" w:cs="Arial Unicode MS"/>
          <w:szCs w:val="24"/>
          <w:rtl/>
        </w:rPr>
      </w:pPr>
    </w:p>
    <w:p w:rsidR="005E7878" w:rsidRPr="00B17485" w:rsidRDefault="005E7878" w:rsidP="005E7878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>عدم انجام ستاژ</w:t>
      </w:r>
    </w:p>
    <w:p w:rsidR="005E7878" w:rsidRPr="00B17485" w:rsidRDefault="005E7878" w:rsidP="009B171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عدم انجام ستاژ بنابر دلایل ذیل به منظور عدم تکمیل سیکل یا سیکل های  مربوطه میگردد و محصل تا زمان تکمیل آن ها منیحث فارغ معرفی نگردیده و اسناد وی طی مراحل نمیگردد؛</w:t>
      </w:r>
    </w:p>
    <w:p w:rsidR="005E7878" w:rsidRPr="00B17485" w:rsidRDefault="005E7878" w:rsidP="009B171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عدم دریافت معرفی بخش مالی و  فورم ستاژ؛</w:t>
      </w:r>
    </w:p>
    <w:p w:rsidR="005E7878" w:rsidRPr="00B17485" w:rsidRDefault="005E7878" w:rsidP="009B171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تاخیر در دریافت فورم ستاژ که منجر به سپری شدن و ختم سیکل یا سیکل های تعیین شده گردیده باشد؛</w:t>
      </w:r>
    </w:p>
    <w:p w:rsidR="005E7878" w:rsidRPr="00B17485" w:rsidRDefault="005E7878" w:rsidP="009B171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غیر حاضری در سیکل یا سیکل های تعیین شده؛</w:t>
      </w:r>
    </w:p>
    <w:p w:rsidR="005E7878" w:rsidRPr="00B17485" w:rsidRDefault="005E7878" w:rsidP="009B171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داشتن مضمون قرضه که تا کامیابی در مضمون شامل ستاژ نمیگردد؛</w:t>
      </w:r>
    </w:p>
    <w:p w:rsidR="005E7878" w:rsidRPr="00B17485" w:rsidRDefault="005E7878" w:rsidP="009B1716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واقعات اخراج موقت نظم و دسپلین که سبب ضایع شدن سیکل یا سیکل های تعیین شده گردد.</w:t>
      </w:r>
    </w:p>
    <w:p w:rsidR="005E7878" w:rsidRPr="00B17485" w:rsidRDefault="005E7878" w:rsidP="005E7878">
      <w:pPr>
        <w:ind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</w:p>
    <w:p w:rsidR="005E7878" w:rsidRPr="00B17485" w:rsidRDefault="005E7878" w:rsidP="005E7878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>مکلفیت</w:t>
      </w:r>
      <w:r w:rsidR="005D5C30"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 xml:space="preserve"> های</w:t>
      </w: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 xml:space="preserve"> محصل در دوره ستاژ 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طبق قوانین صحت عامه ستاژر تا زمانیکه فارغ نگردیده و امتحان شورای طبی و مراحل اخذ جواز فعالیت صحت عامه را دریافت نکرده باشد به طور مستقل اجازه کار و تداوی مریض را ندارد؛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می بایست قبل از حضور در محیط کلینیک و شفاخانه واکسین هپاتیت را دریافت نموده باشد؛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در جریان دوره ستاژ صرفا منحیث مشاهده کننده(</w:t>
      </w:r>
      <w:r w:rsidRPr="00B17485">
        <w:rPr>
          <w:rFonts w:ascii="Arial Unicode MS" w:eastAsia="Arial Unicode MS" w:hAnsi="Arial Unicode MS" w:cs="Arial Unicode MS"/>
          <w:sz w:val="24"/>
          <w:szCs w:val="24"/>
        </w:rPr>
        <w:t>Observer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) و یا اسیستانت استاد ستاژ می تواند فعالیت کند؛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می بایست با در دست داشتن فورم ستاژ در موعد مشخص طبق تقسیم اوقات تعیین شده و در زمان مشخص شده در سیکل های ستاژ خود حضور داشته باشد؛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می بایست در سیکل های مربوطه حضور فیزیکی داشته و حاضری خود را روزانه امضا نماید؛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حضور محصلی که نام وی در لیست نباشد و معرفی نشده باشد در کلینیک و شفاخانه ممنوع می باشد؛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ختم موفقانه هر سیکل به استناد حضور فیزیکی و داشتن حاضری می باشد. در صورت عدم حضور ستاژر در سیکل مربوطه غیر حاضر محاسبه میگردد و ختم ستاژ و فراغت وی با سپری نمودن آن سیکل ممکن خواهد بود؛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در صورت عدم سپری نمودن دوره ستاژ محصل فارغ نمیگردد و باید در دوره بعدی ستاژ خود را سپری نماید؛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در جریان حضور در کلینیک و شفاخانه باید چپن سفید و کفش مخصوص محیط کلینیک و شفاخانه  و سایر تجهیزات محافطتی شخصی در برابر انتان را داشته باشد؛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پیروی نمودن از لوایح و مقررات هر مرکز یا کلینیکی که سیکل های ستاژ در آن سپری می شود؛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ستاژران مکلف هستند تا مراجعین را با در نظرداشت فیس و هزینه های مرکز مربوطه قبل از تداوی آگاه نمایند و پس از راجستریشن اقدامات لازم تداوی آغاز گردد؛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داشتن پوشش مناسب برای ستاژران ذکور و رعایت حجاب اسلامی برای محصلان اناث الزامی است؛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>ستاژر در جریان ستاژ حق خروج از محل ستاژ بدون هماهنگی و اجازه مسوول و یا آمر بخش را ندارد؛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در جریان حضور در هر مرکز ستاژر می بایست از برخورد نیک و اخلاق مناسب در ارتباط با اساتید ، مسوولین ، کارمندان اداری، پرسونل خدماتی ، ستاژران دیگر و مراجعین برخوردار باشد و در صورت تخطی و بی انضباطی پیگرد از طریق کمیته های نظم و دسپلین پوهنحی و پوهنتون خواهد بود؛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باید در هر سیکل کتابچه ثبت مریض (لاک بوک) داشته باشد و آن را زیر نظر استاد راهنمای مربوطه خانه پری نماید و در ختم سیکل به استاد راهنمای ستاژ تحویل دهد؛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می بایست گزارش روزانه خود را از کارهای عملی انجام شده به استاد راهنما بدهد؛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می بایست در رعایت پاکی و بهداشت محل کار خود کوشا باشد و از آسیب و یا استفاده نادرست از وسایل و تجهیزات خودداری نماید؛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باید برای ارتقای ظرفیت در جریان دوره ستاژ در سیکل های اختصاصی کنفرانس و سمینار برگزار نماید؛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مکلف است تا در دوره های آموزشی ، کنفرانس های علمی و آموزشی که برای ارتقای ظرفیت ویژه ستاژران و داکتران از جانب پوهنحی برگزار میگردد اشتراک نماید؛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 xml:space="preserve">ستاژران می بایست در در پروژه های تحقیقات علمی ، فعالیت های میدانی آگاهی دهی حفظ الصحه دهان و دندان که از جانب پوهنحی انجام می شود سهم گیری فعال داشته باشند؛ 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خوردن و آشامیدن و استفاده بی رویه از گوشی موبایل هوشمند در جریان حضور در اوقات رسمی و کاری کلینیک و شفاخانه ممنوع می باشد.</w:t>
      </w:r>
    </w:p>
    <w:p w:rsidR="005E7878" w:rsidRPr="00B17485" w:rsidRDefault="005E7878" w:rsidP="005E7878">
      <w:pPr>
        <w:pStyle w:val="ListParagraph"/>
        <w:ind w:left="1004" w:firstLine="0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5E7878" w:rsidRPr="00B17485" w:rsidRDefault="005E7878" w:rsidP="005E7878">
      <w:pPr>
        <w:pStyle w:val="ListParagraph"/>
        <w:ind w:left="1004" w:firstLine="0"/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>مکلفیت های استاد ستاژ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پایبندی به حاضری مطابق با قرارداد یا مکلفیت رسمی نظر به ساعاتی که ستاژ مینماید 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ارائه گزارش به مسوول ستاژ در ختم هر سیکل؛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داشتن اسناد معتبر لازم (دیپلم فراغت ، شرایط کادری ، جواز فعالیت صحت عامه و صلاحیت لازم از نهاد مربوطه جهت وظایف محول شده)؛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ارائه کورس پالیسی سیکل ستاژ مربوطه به محصلان و در اختیار قرار دادن یک نسخه از آن به نماینده گروپ؛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جدی گرفتن حاضری ستاژران در جریان سیکل های تعیین شده؛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انجام پروسیجرهای درمانی توسط استاد با حضور داشت ستاژران به عنوان مشاهده کننده 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تعیین موضوع کنفرانس برای ستاژران جهت ارائه؛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برگزاری کنفرانس ،سمینار،ورکشاپ و دوره آموزشی برای ستاژران؛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آموزش ستاژران در ارتباط با پروسیجرها درمانی مطابق با پالیسی کورس مشخص 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نظارت از فعالیت ستاژران در جریان حضور در کلینیک یا شفاخانه؛</w:t>
      </w:r>
    </w:p>
    <w:p w:rsidR="005E7878" w:rsidRPr="00B17485" w:rsidRDefault="005E7878" w:rsidP="009B1716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بررسی کتابچه ثبت مریضان (لاک بوک) هر ستاژر و تایید آن.</w:t>
      </w:r>
    </w:p>
    <w:p w:rsidR="005D5C30" w:rsidRPr="00B17485" w:rsidRDefault="005D5C30" w:rsidP="005D5C30">
      <w:pPr>
        <w:ind w:firstLine="0"/>
        <w:rPr>
          <w:rFonts w:ascii="Arial Unicode MS" w:eastAsia="Arial Unicode MS" w:hAnsi="Arial Unicode MS" w:cs="Arial Unicode MS"/>
          <w:szCs w:val="24"/>
          <w:rtl/>
        </w:rPr>
      </w:pPr>
    </w:p>
    <w:p w:rsidR="005D5C30" w:rsidRPr="00B17485" w:rsidRDefault="005D5C30" w:rsidP="005D5C30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  <w:lang w:bidi="fa-IR"/>
        </w:rPr>
        <w:t>مکلفیت های مراکزی که ستاژ در آن پیش برده می شود(کلینیک ها و شفاخانه ها)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جدی گرفتن حاضری محصلان در جریان سیکل های تعیین شده؛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در نظر گرفتن محل مناسب برای بود و باش ستاژران 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توجه به ملاحظات مصوونیت ستاژران از امراض ساری در جریان حضور در مراکز؛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داشتن رویه نیک در برخورد با محصلان از جانب مسوولین ، داکتران،نرس ها ؛پرسونل اداری و خدماتی شفاخانه یا کلینیک؛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داشتن محل مناسب برای کنفرانس و سمینار؛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تهیه دوسیه و شواهد پیشبرد ستاژ و حاضری محصلان و اساتید 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نظارت از عملکرد اساتید ستاژ و محصلان در جریان هر سیکل 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استفاده از امکانات موجود جهت آموزش های عملی به ستاژران؛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lastRenderedPageBreak/>
        <w:t>پرهیز از حاضری محصلان غیر حاضر در ستاژ؛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داشتن پالیسی مشخص برای پیشبرد ستاژ محصلان در نهاد مربوطه؛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آگاه سازی محصلان از پالیسی ها و مقررات کلینیک یا شفاخانه؛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جایگزینی راه های بدیل در مواردی که امکان تطبیق ستاژ در یک بخش نمی باشد ؛ مانند سناریو، ویدیوهای آموزشی و استفاده از مدل ها؛</w:t>
      </w:r>
    </w:p>
    <w:p w:rsidR="00367830" w:rsidRPr="00B17485" w:rsidRDefault="003678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تایید لاک بوک ها در ختم هر سیکل از جانب مسوول مربوطه؛</w:t>
      </w:r>
    </w:p>
    <w:p w:rsidR="00367830" w:rsidRPr="00B17485" w:rsidRDefault="003678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داشتن پالیسی مشخص جهت ختم هر سیکل از جانب استاد یا بخش مربوطه برای محصلان ، ارزیابی وی از نظر بازدهی و مفیدیت سیکل مربوطه و نمره دهی بر اساس ارزیابی مشخص؛</w:t>
      </w:r>
    </w:p>
    <w:p w:rsidR="005D5C30" w:rsidRPr="00B17485" w:rsidRDefault="005D5C30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تهیه گزارش و ارائه آن به پوهنحی در ختم هر دوره ستاژ(نمونه گزارش در ضمیمه قرار دارد)</w:t>
      </w:r>
    </w:p>
    <w:p w:rsidR="005D5C30" w:rsidRPr="00B17485" w:rsidRDefault="005D5C30" w:rsidP="005D5C30">
      <w:pPr>
        <w:pStyle w:val="ListParagraph"/>
        <w:ind w:left="1004" w:firstLine="0"/>
        <w:rPr>
          <w:rFonts w:ascii="Arial Unicode MS" w:eastAsia="Arial Unicode MS" w:hAnsi="Arial Unicode MS" w:cs="Arial Unicode MS"/>
          <w:szCs w:val="24"/>
          <w:lang w:bidi="fa-IR"/>
        </w:rPr>
      </w:pPr>
    </w:p>
    <w:p w:rsidR="005D5C30" w:rsidRPr="00B17485" w:rsidRDefault="005D5C30" w:rsidP="005E7878">
      <w:pPr>
        <w:ind w:firstLine="0"/>
        <w:rPr>
          <w:rFonts w:ascii="Arial Unicode MS" w:eastAsia="Arial Unicode MS" w:hAnsi="Arial Unicode MS" w:cs="Arial Unicode MS"/>
          <w:szCs w:val="24"/>
          <w:rtl/>
        </w:rPr>
      </w:pPr>
      <w:bookmarkStart w:id="2" w:name="_GoBack"/>
      <w:bookmarkEnd w:id="2"/>
    </w:p>
    <w:p w:rsidR="00816E96" w:rsidRPr="00B17485" w:rsidRDefault="00816E96" w:rsidP="00816E96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  <w:lang w:bidi="fa-IR"/>
        </w:rPr>
        <w:t xml:space="preserve">مکلفیت های </w:t>
      </w:r>
      <w:r w:rsidRPr="003B7658">
        <w:rPr>
          <w:rFonts w:ascii="Arial Unicode MS" w:eastAsia="Arial Unicode MS" w:hAnsi="Arial Unicode MS" w:cs="Arial Unicode MS"/>
          <w:b/>
          <w:bCs/>
          <w:color w:val="FF0000"/>
          <w:sz w:val="24"/>
          <w:szCs w:val="28"/>
          <w:rtl/>
          <w:lang w:bidi="fa-IR"/>
        </w:rPr>
        <w:t>دیپارتمنت</w:t>
      </w:r>
      <w:r w:rsidR="003B7658" w:rsidRPr="003B7658">
        <w:rPr>
          <w:rFonts w:ascii="Arial Unicode MS" w:eastAsia="Arial Unicode MS" w:hAnsi="Arial Unicode MS" w:cs="Arial Unicode MS" w:hint="cs"/>
          <w:b/>
          <w:bCs/>
          <w:color w:val="FF0000"/>
          <w:sz w:val="24"/>
          <w:szCs w:val="28"/>
          <w:rtl/>
          <w:lang w:bidi="fa-IR"/>
        </w:rPr>
        <w:t xml:space="preserve"> عمومی</w:t>
      </w:r>
      <w:r w:rsidRPr="003B7658">
        <w:rPr>
          <w:rFonts w:ascii="Arial Unicode MS" w:eastAsia="Arial Unicode MS" w:hAnsi="Arial Unicode MS" w:cs="Arial Unicode MS"/>
          <w:b/>
          <w:bCs/>
          <w:color w:val="FF0000"/>
          <w:sz w:val="24"/>
          <w:szCs w:val="28"/>
          <w:rtl/>
          <w:lang w:bidi="fa-IR"/>
        </w:rPr>
        <w:t xml:space="preserve"> </w:t>
      </w:r>
      <w:r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  <w:lang w:bidi="fa-IR"/>
        </w:rPr>
        <w:t>پوهنحی در دوره ستاژ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ترتیب تقسیم اوقات و گروپ بندی محصلان در دوره ستاژ؛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هماهنگی با کلینیک ها و شفاخانه ها جهت پیشبرد سیکل های ستاژ؛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صدور فورم ستاژ و معرفی ستاژران به بخش ها؛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برگزاری دوره ها و کنفرانس های آموزشی کلینیکی برای ستاژران؛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تعیین استاد راهنمای ستاژ برای هر گروپ 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تعیین مسوول مشخص برای ستاژ جهت راهنمایی محصلان و هماهنگی با بخش ها؛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ایجاد تسهیلات و امکانات لازم برای پیشبرد سیکل های دوره ستاژ؛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راهنمایی و آماده ساختن محصلان جهت سپری نمودن امتحان شورای طبی از طریق معرفی منابع امتحان و برگزاری امتحانات آزمایشی 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سهم دادن محصلان ستاژر  در پروژه های تحقیقاتی و میدانی 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تکمیل اسناد فراغت محصلان در ختم دوره ستاژ 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نظارت و ارزیابی از روند ستاژ در کلینیک ها و شفاخانه ها؛</w:t>
      </w:r>
    </w:p>
    <w:p w:rsidR="00816E96" w:rsidRPr="00B17485" w:rsidRDefault="00816E96" w:rsidP="009B1716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Cs w:val="24"/>
          <w:lang w:bidi="fa-IR"/>
        </w:rPr>
      </w:pPr>
      <w:r w:rsidRPr="00B17485">
        <w:rPr>
          <w:rFonts w:ascii="Arial Unicode MS" w:eastAsia="Arial Unicode MS" w:hAnsi="Arial Unicode MS" w:cs="Arial Unicode MS"/>
          <w:szCs w:val="24"/>
          <w:rtl/>
          <w:lang w:bidi="fa-IR"/>
        </w:rPr>
        <w:t>ارتباط دوامدار با ستاژران در دوره ستاژ.</w:t>
      </w:r>
    </w:p>
    <w:p w:rsidR="00816E96" w:rsidRPr="00B17485" w:rsidRDefault="00816E96" w:rsidP="005E7878">
      <w:pPr>
        <w:ind w:firstLine="0"/>
        <w:rPr>
          <w:rFonts w:ascii="Arial Unicode MS" w:eastAsia="Arial Unicode MS" w:hAnsi="Arial Unicode MS" w:cs="Arial Unicode MS"/>
          <w:szCs w:val="24"/>
          <w:rtl/>
        </w:rPr>
      </w:pPr>
    </w:p>
    <w:p w:rsidR="005E7878" w:rsidRPr="00B17485" w:rsidRDefault="005E7878" w:rsidP="005E7878">
      <w:pPr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8"/>
          <w:rtl/>
        </w:rPr>
        <w:t>مقررات ستاژ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پیروی از لوایح  و مقررات هر کلینیک و یا شفاخانه ای که در آن سیکل های ستاژ سپری می شود الزامی بوده و در صورت عدم رعایت موازین مربوطه عواقب و پیگرد متوجه شخص خاطی خواهد بود؛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پایبندی به حاضری در جریان ستاژ جدی می باشد و در صورت غیر حاضری مکرر که منجر به ختم سیکل تعیین شده گردد ، سیکل یا سیکل های از دست رفته باید مجدد توسط محصل سپری شود؛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ترانسپورت به کلینیک ها و شفاخانه ها در جریان سال ستاژ بر عهده خود محصل می باشد؛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تکمیل نمودن اسناد لازم در دوره ستاژ حایز اهمیت بوده و در صورت عدم تکمیل روند ستاژ وی تکمیل نمیگردد؛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پرهیز از بی نظمی و اعمالی که منجر به برهم خوردن موازین انضباطی و دسپلینی در جریان ستاژ می گردد بر هر ستاژر الزامی می باشد؛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همراه داشتن چپن سفید الزامی می باشد و در صورت نداشتن چپن اجازه حضور در کلینیک داده نخواهد شد؛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 xml:space="preserve">پیشبرد سیکل های ستاژ طبق تقسیم اوقات و گروپ بندی مشخص شده از جانب اداره پوهنحی صورت میگرد ؛ </w:t>
      </w:r>
    </w:p>
    <w:p w:rsidR="005E7878" w:rsidRPr="00B17485" w:rsidRDefault="005E7878" w:rsidP="009B1716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Cs w:val="24"/>
          <w:rtl/>
        </w:rPr>
        <w:t>در صورتیکه محصل در جریان ستاژ برای مدت مشخص رخصتی نیاز داشته باشد باید با موافقه  و هماهنگی مسوول بخش صورت گیرد.</w:t>
      </w:r>
    </w:p>
    <w:p w:rsidR="00E47C30" w:rsidRPr="00B17485" w:rsidRDefault="00E47C30" w:rsidP="006368C0">
      <w:pPr>
        <w:rPr>
          <w:rFonts w:ascii="Arial Unicode MS" w:eastAsia="Arial Unicode MS" w:hAnsi="Arial Unicode MS" w:cs="Arial Unicode MS"/>
          <w:szCs w:val="24"/>
          <w:rtl/>
          <w:lang w:bidi="fa-IR"/>
        </w:rPr>
      </w:pPr>
    </w:p>
    <w:p w:rsidR="001A62BF" w:rsidRDefault="001A62BF" w:rsidP="00E47C30">
      <w:pPr>
        <w:rPr>
          <w:rFonts w:ascii="Arial Unicode MS" w:eastAsia="Arial Unicode MS" w:hAnsi="Arial Unicode MS" w:cs="Arial Unicode MS"/>
          <w:b/>
          <w:bCs/>
          <w:sz w:val="24"/>
          <w:szCs w:val="28"/>
        </w:rPr>
      </w:pPr>
    </w:p>
    <w:p w:rsidR="00E47C30" w:rsidRPr="00FC7877" w:rsidRDefault="00E47C30" w:rsidP="00E47C30">
      <w:pPr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8"/>
          <w:rtl/>
        </w:rPr>
        <w:t>پیگرد های انضباطی و دسپلینی در دوره ستاژ:</w:t>
      </w: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ستاژر الی ختم د</w:t>
      </w:r>
      <w:r w:rsidR="00B61649">
        <w:rPr>
          <w:rFonts w:ascii="Arial Unicode MS" w:eastAsia="Arial Unicode MS" w:hAnsi="Arial Unicode MS" w:cs="Arial Unicode MS"/>
          <w:sz w:val="24"/>
          <w:szCs w:val="24"/>
          <w:rtl/>
        </w:rPr>
        <w:t xml:space="preserve">وره ستاژ محصل پوهنحی </w:t>
      </w:r>
      <w:r w:rsidR="00B61649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طب معالجوی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محسوب میگردد و در صورت بروز تخطی و تخلف، از جانب کمیته نظم و دسپلین پوهنحی مطابق با طرزالعمل کمیته نظم و دسپلین پوهنتون غالب تحت پیگرد قرار میگیرد.</w:t>
      </w: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4A297C" w:rsidRDefault="004A297C" w:rsidP="00E47C3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تخطی ها و تخلف های صورت گرفته در حوزه های ذیل تعریف میگردد:</w:t>
      </w: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>الف)تخلفات شخصی:</w:t>
      </w:r>
    </w:p>
    <w:p w:rsidR="00E47C30" w:rsidRPr="00B17485" w:rsidRDefault="00E47C30" w:rsidP="009B1716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دامن زدن به تعصبات قومی ، لسانی و مذهبی ؛</w:t>
      </w:r>
    </w:p>
    <w:p w:rsidR="00E47C30" w:rsidRPr="00B17485" w:rsidRDefault="00E47C30" w:rsidP="009B1716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مشکلات اخلاقی و مزاحمت به افراد یا اشخاص ؛</w:t>
      </w:r>
    </w:p>
    <w:p w:rsidR="00E47C30" w:rsidRPr="00B17485" w:rsidRDefault="00E47C30" w:rsidP="009B1716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بروز جرایم جنایی و هنجارشکنی؛</w:t>
      </w:r>
    </w:p>
    <w:p w:rsidR="00E47C30" w:rsidRPr="00B17485" w:rsidRDefault="00E47C30" w:rsidP="009B1716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فعالیت های سیاسی و تبلیغاتی خارج از قوانین نافذه کشور؛</w:t>
      </w:r>
    </w:p>
    <w:p w:rsidR="00E47C30" w:rsidRPr="00B17485" w:rsidRDefault="00E47C30" w:rsidP="009B1716">
      <w:pPr>
        <w:pStyle w:val="ListParagraph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عدم داشتن پوشش مناسب و دور از شئونات اسلامی.</w:t>
      </w:r>
    </w:p>
    <w:p w:rsidR="00E47C30" w:rsidRPr="00FC7877" w:rsidRDefault="00E47C30" w:rsidP="00E47C30">
      <w:pPr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  <w:t>:</w:t>
      </w:r>
      <w:r w:rsidR="00FC7877"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  <w:t xml:space="preserve"> </w:t>
      </w:r>
      <w:r w:rsidR="00FC7877"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  <w:t>ب)تخلفات کاری</w:t>
      </w:r>
    </w:p>
    <w:p w:rsidR="00E47C30" w:rsidRPr="00B17485" w:rsidRDefault="00E47C30" w:rsidP="009B1716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عدم پایبندی به حاضری؛</w:t>
      </w:r>
    </w:p>
    <w:p w:rsidR="00E47C30" w:rsidRPr="00B17485" w:rsidRDefault="00E47C30" w:rsidP="009B1716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عدم پیروی از پالیسی و مقررات شفاخانه و یا کلینیک؛</w:t>
      </w:r>
    </w:p>
    <w:p w:rsidR="00E47C30" w:rsidRPr="00B17485" w:rsidRDefault="00E47C30" w:rsidP="009B1716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 xml:space="preserve">عدم پیروی از توصیه های استاد راهنما و یا آمر بخش مربوطه؛ </w:t>
      </w:r>
    </w:p>
    <w:p w:rsidR="00E47C30" w:rsidRPr="00B17485" w:rsidRDefault="00E47C30" w:rsidP="009B1716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عدم داشتن رویه مناسب با همکاران ، مریضان ، داکتران و پرسونل اداری و خدماتی؛</w:t>
      </w:r>
    </w:p>
    <w:p w:rsidR="00E47C30" w:rsidRPr="00B17485" w:rsidRDefault="00E47C30" w:rsidP="009B1716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استفاده و انتقال وسایل و تجهیزات به خارج از محیط کلینیک و شفاخانه؛</w:t>
      </w:r>
    </w:p>
    <w:p w:rsidR="00E47C30" w:rsidRPr="00B17485" w:rsidRDefault="00E47C30" w:rsidP="009B1716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آسیب رسانده عمدی به امکانات و تجهیزات موجود در محیط کلینیک و شفاخانه.</w:t>
      </w: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  <w:t>ج)تخلفات بهداشتی و صحی:</w:t>
      </w:r>
    </w:p>
    <w:p w:rsidR="00E47C30" w:rsidRPr="00B17485" w:rsidRDefault="00E47C30" w:rsidP="009B1716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نداشتن چپن سفید و یا یونیفرم طبی تعیین شده؛</w:t>
      </w:r>
    </w:p>
    <w:p w:rsidR="00E47C30" w:rsidRPr="00B17485" w:rsidRDefault="00E47C30" w:rsidP="009B1716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عدم استفاده از دستکش ،ماسک و سایر وسایل محافظت شخصی؛</w:t>
      </w:r>
    </w:p>
    <w:p w:rsidR="00E47C30" w:rsidRPr="00B17485" w:rsidRDefault="00E47C30" w:rsidP="009B1716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سهل انگاری وظیفوی؛</w:t>
      </w:r>
    </w:p>
    <w:p w:rsidR="004A297C" w:rsidRPr="00446267" w:rsidRDefault="00E47C30" w:rsidP="00446267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</w:rPr>
        <w:t>عدم رعایت بهداشت و شرایط اسیسپی و انتی سپسی در جریان کار.</w:t>
      </w:r>
    </w:p>
    <w:p w:rsidR="004A297C" w:rsidRDefault="004A297C" w:rsidP="00E47C30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4A297C" w:rsidRPr="00FC7877" w:rsidRDefault="00E47C30" w:rsidP="00692D69">
      <w:pPr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</w:pPr>
      <w:r w:rsidRPr="00FC7877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  <w:rtl/>
        </w:rPr>
        <w:t>د)سایر تخلفات تعریف شده در طرزالعمل کمیته نظم و دسپلین پوهنتون غالب هرات.</w:t>
      </w:r>
    </w:p>
    <w:p w:rsidR="004A297C" w:rsidRDefault="004A297C" w:rsidP="00E47C30">
      <w:pPr>
        <w:rPr>
          <w:rFonts w:ascii="Arial Unicode MS" w:eastAsia="Arial Unicode MS" w:hAnsi="Arial Unicode MS" w:cs="Arial Unicode MS"/>
          <w:sz w:val="20"/>
          <w:szCs w:val="24"/>
          <w:rtl/>
        </w:rPr>
      </w:pP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نوت:</w:t>
      </w:r>
    </w:p>
    <w:p w:rsidR="00E47C30" w:rsidRPr="00B17485" w:rsidRDefault="00E47C30" w:rsidP="009B1716">
      <w:pPr>
        <w:pStyle w:val="ListParagraph"/>
        <w:numPr>
          <w:ilvl w:val="0"/>
          <w:numId w:val="13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ستاژر در دوران ستاژ حق تداوی مستقل نداشته و در صورت بروز مشکل به مراجعین و مریضان ناشی از سهل انگاری و عدم پیروی از رهنمود در جریان تداوی ، مسوولیت به دوش شخص ستاژر می باشد؛</w:t>
      </w:r>
    </w:p>
    <w:p w:rsidR="00E47C30" w:rsidRPr="00B17485" w:rsidRDefault="00E47C30" w:rsidP="009B1716">
      <w:pPr>
        <w:pStyle w:val="ListParagraph"/>
        <w:numPr>
          <w:ilvl w:val="0"/>
          <w:numId w:val="13"/>
        </w:numPr>
        <w:rPr>
          <w:rFonts w:ascii="Arial Unicode MS" w:eastAsia="Arial Unicode MS" w:hAnsi="Arial Unicode MS" w:cs="Arial Unicode MS"/>
          <w:sz w:val="20"/>
          <w:szCs w:val="24"/>
          <w:rtl/>
        </w:rPr>
      </w:pPr>
      <w:r w:rsidRPr="00B17485">
        <w:rPr>
          <w:rFonts w:ascii="Arial Unicode MS" w:eastAsia="Arial Unicode MS" w:hAnsi="Arial Unicode MS" w:cs="Arial Unicode MS"/>
          <w:sz w:val="20"/>
          <w:szCs w:val="24"/>
          <w:rtl/>
        </w:rPr>
        <w:t>ستاژر مطابق مقررات صحت عامه اجازه فعالیت مستقل در کلینیک ها ، شفاخانه و معاینه خانه های شخصی نداشته و در صورت بروز مشکلات حقوقی به شخص ،پوهنحی هیچگونه مسوولیتی ندارد و عواقب به دوش شخص ستاژر می باشد.</w:t>
      </w:r>
    </w:p>
    <w:p w:rsidR="006368C0" w:rsidRPr="00B17485" w:rsidRDefault="006368C0" w:rsidP="000D2643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p w:rsidR="00464FF8" w:rsidRPr="00B17485" w:rsidRDefault="00A856F9" w:rsidP="00E47C30">
      <w:pPr>
        <w:pStyle w:val="Heading1"/>
        <w:rPr>
          <w:rFonts w:ascii="Arial Unicode MS" w:eastAsia="Arial Unicode MS" w:hAnsi="Arial Unicode MS" w:cs="Arial Unicode MS"/>
          <w:sz w:val="28"/>
          <w:szCs w:val="28"/>
          <w:rtl/>
          <w:lang w:bidi="fa-IR"/>
        </w:rPr>
      </w:pPr>
      <w:bookmarkStart w:id="3" w:name="_Toc22030859"/>
      <w:r w:rsidRPr="00B17485">
        <w:rPr>
          <w:rFonts w:ascii="Arial Unicode MS" w:eastAsia="Arial Unicode MS" w:hAnsi="Arial Unicode MS" w:cs="Arial Unicode MS"/>
          <w:sz w:val="28"/>
          <w:szCs w:val="28"/>
          <w:rtl/>
          <w:lang w:bidi="fa-IR"/>
        </w:rPr>
        <w:t>تصویب</w:t>
      </w:r>
      <w:bookmarkEnd w:id="3"/>
      <w:r w:rsidR="00E47C30" w:rsidRPr="00B17485">
        <w:rPr>
          <w:rFonts w:ascii="Arial Unicode MS" w:eastAsia="Arial Unicode MS" w:hAnsi="Arial Unicode MS" w:cs="Arial Unicode MS"/>
          <w:sz w:val="28"/>
          <w:szCs w:val="28"/>
          <w:rtl/>
          <w:lang w:bidi="fa-IR"/>
        </w:rPr>
        <w:t xml:space="preserve"> </w:t>
      </w:r>
    </w:p>
    <w:p w:rsidR="00E47C30" w:rsidRPr="00B17485" w:rsidRDefault="00E47C30" w:rsidP="00E24B0B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 xml:space="preserve">مصوب جلسه مورخ  </w:t>
      </w:r>
      <w:r w:rsidR="00E24B0B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23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>/</w:t>
      </w:r>
      <w:r w:rsidR="00E24B0B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4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>/</w:t>
      </w:r>
      <w:r w:rsidR="002A6F5C"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>1401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 xml:space="preserve">  به شماره پروتوکل(</w:t>
      </w:r>
      <w:r w:rsidR="00823377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6</w:t>
      </w:r>
      <w:r w:rsidR="00D2078B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>) جل</w:t>
      </w:r>
      <w:r w:rsidR="00D2078B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 xml:space="preserve">سه شورای علمی پوهنحی </w:t>
      </w:r>
      <w:r w:rsidR="00D2078B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طب معالجوی</w:t>
      </w: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 xml:space="preserve"> پوهنتون غالب هرات.</w:t>
      </w:r>
    </w:p>
    <w:p w:rsidR="00D2078B" w:rsidRDefault="00D2078B" w:rsidP="00D743EE">
      <w:pPr>
        <w:jc w:val="center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 xml:space="preserve"> </w:t>
      </w:r>
    </w:p>
    <w:p w:rsidR="00D743EE" w:rsidRPr="00B17485" w:rsidRDefault="00D743EE" w:rsidP="00D743EE">
      <w:pPr>
        <w:jc w:val="center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B17485"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  <w:t xml:space="preserve">       مهر و امضا</w:t>
      </w:r>
      <w:r w:rsidR="00D2078B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</w:p>
    <w:p w:rsidR="00D743EE" w:rsidRPr="00B17485" w:rsidRDefault="00D743EE" w:rsidP="00E47C30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p w:rsidR="00E47C30" w:rsidRPr="00B17485" w:rsidRDefault="00E47C30" w:rsidP="00E47C30">
      <w:pPr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</w:p>
    <w:sectPr w:rsidR="00E47C30" w:rsidRPr="00B17485" w:rsidSect="006368C0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50" w:rsidRDefault="00936D50" w:rsidP="00DC4CA8">
      <w:r>
        <w:separator/>
      </w:r>
    </w:p>
  </w:endnote>
  <w:endnote w:type="continuationSeparator" w:id="0">
    <w:p w:rsidR="00936D50" w:rsidRDefault="00936D50" w:rsidP="00D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96937592"/>
      <w:docPartObj>
        <w:docPartGallery w:val="Page Numbers (Bottom of Page)"/>
        <w:docPartUnique/>
      </w:docPartObj>
    </w:sdtPr>
    <w:sdtEndPr/>
    <w:sdtContent>
      <w:p w:rsidR="00334B7B" w:rsidRDefault="00334B7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05B6D8D" wp14:editId="2E86ABE4">
                  <wp:extent cx="5467350" cy="54610"/>
                  <wp:effectExtent l="9525" t="19050" r="9525" b="12065"/>
                  <wp:docPr id="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10152A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GaSn3EjAgAASAQAAA4AAAAAAAAAAAAAAAAALgIAAGRycy9lMm9Eb2MueG1sUEsB&#10;Ai0AFAAGAAgAAAAhACLl/PnZAAAAAwEAAA8AAAAAAAAAAAAAAAAAfQQAAGRycy9kb3ducmV2Lnht&#10;bFBLBQYAAAAABAAEAPMAAACDBQAAAAA=&#10;" fillcolor="black">
                  <w10:wrap anchorx="page"/>
                  <w10:anchorlock/>
                </v:shape>
              </w:pict>
            </mc:Fallback>
          </mc:AlternateContent>
        </w:r>
      </w:p>
      <w:p w:rsidR="00334B7B" w:rsidRDefault="00334B7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B7658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334B7B" w:rsidRDefault="00334B7B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02588622"/>
      <w:docPartObj>
        <w:docPartGallery w:val="Page Numbers (Bottom of Page)"/>
        <w:docPartUnique/>
      </w:docPartObj>
    </w:sdtPr>
    <w:sdtEndPr/>
    <w:sdtContent>
      <w:p w:rsidR="00334B7B" w:rsidRDefault="00334B7B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F7D125B" wp14:editId="7C3626AA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55668A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334B7B" w:rsidRDefault="00334B7B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C787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4B7B" w:rsidRDefault="00334B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50" w:rsidRDefault="00936D50" w:rsidP="00DC4CA8">
      <w:r>
        <w:separator/>
      </w:r>
    </w:p>
  </w:footnote>
  <w:footnote w:type="continuationSeparator" w:id="0">
    <w:p w:rsidR="00936D50" w:rsidRDefault="00936D50" w:rsidP="00DC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rtl/>
      </w:rPr>
      <w:alias w:val="Title"/>
      <w:id w:val="178530407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4B7B" w:rsidRPr="00334B7B" w:rsidRDefault="0046351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</w:rPr>
          <w:t>رهنمود ستاژ پوهنحی طب معالجه وی پوهنتون غالب</w:t>
        </w:r>
      </w:p>
    </w:sdtContent>
  </w:sdt>
  <w:p w:rsidR="00334B7B" w:rsidRDefault="00334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490"/>
    <w:multiLevelType w:val="hybridMultilevel"/>
    <w:tmpl w:val="530A027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63ECB"/>
    <w:multiLevelType w:val="hybridMultilevel"/>
    <w:tmpl w:val="6E181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671"/>
    <w:multiLevelType w:val="hybridMultilevel"/>
    <w:tmpl w:val="41D60B0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4511D2"/>
    <w:multiLevelType w:val="hybridMultilevel"/>
    <w:tmpl w:val="D5E41B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A45AEF"/>
    <w:multiLevelType w:val="hybridMultilevel"/>
    <w:tmpl w:val="7722DD5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D66DB2"/>
    <w:multiLevelType w:val="hybridMultilevel"/>
    <w:tmpl w:val="453CA080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308C6"/>
    <w:multiLevelType w:val="hybridMultilevel"/>
    <w:tmpl w:val="A9DE361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2E1651"/>
    <w:multiLevelType w:val="hybridMultilevel"/>
    <w:tmpl w:val="999C69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1C0303"/>
    <w:multiLevelType w:val="hybridMultilevel"/>
    <w:tmpl w:val="5D307BC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DB1E12"/>
    <w:multiLevelType w:val="hybridMultilevel"/>
    <w:tmpl w:val="84EA9388"/>
    <w:lvl w:ilvl="0" w:tplc="AFD6568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16962"/>
    <w:multiLevelType w:val="hybridMultilevel"/>
    <w:tmpl w:val="4B3E1A7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5F3DA0"/>
    <w:multiLevelType w:val="hybridMultilevel"/>
    <w:tmpl w:val="C6CE4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49FC"/>
    <w:multiLevelType w:val="hybridMultilevel"/>
    <w:tmpl w:val="3CCCC0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DB09D1"/>
    <w:multiLevelType w:val="hybridMultilevel"/>
    <w:tmpl w:val="ACE4163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A"/>
    <w:rsid w:val="00032041"/>
    <w:rsid w:val="00050AAA"/>
    <w:rsid w:val="0006334D"/>
    <w:rsid w:val="000675D8"/>
    <w:rsid w:val="00084ADA"/>
    <w:rsid w:val="00085EEF"/>
    <w:rsid w:val="00090254"/>
    <w:rsid w:val="000B780C"/>
    <w:rsid w:val="000C7C89"/>
    <w:rsid w:val="000D2643"/>
    <w:rsid w:val="000D4733"/>
    <w:rsid w:val="000E01D1"/>
    <w:rsid w:val="000F47FB"/>
    <w:rsid w:val="00100F50"/>
    <w:rsid w:val="00106A80"/>
    <w:rsid w:val="00111AC1"/>
    <w:rsid w:val="00112031"/>
    <w:rsid w:val="0011263B"/>
    <w:rsid w:val="00120248"/>
    <w:rsid w:val="001477F7"/>
    <w:rsid w:val="00185C7C"/>
    <w:rsid w:val="0018769C"/>
    <w:rsid w:val="0019104A"/>
    <w:rsid w:val="00195E2B"/>
    <w:rsid w:val="001A62BF"/>
    <w:rsid w:val="001C7790"/>
    <w:rsid w:val="001D0EBE"/>
    <w:rsid w:val="001D3674"/>
    <w:rsid w:val="001F7E38"/>
    <w:rsid w:val="00207B6C"/>
    <w:rsid w:val="00212146"/>
    <w:rsid w:val="00215AAD"/>
    <w:rsid w:val="00221E87"/>
    <w:rsid w:val="00242FA1"/>
    <w:rsid w:val="00251E2D"/>
    <w:rsid w:val="00277A2A"/>
    <w:rsid w:val="00282334"/>
    <w:rsid w:val="002A4B77"/>
    <w:rsid w:val="002A6F5C"/>
    <w:rsid w:val="002B14BD"/>
    <w:rsid w:val="002C117D"/>
    <w:rsid w:val="002D05D2"/>
    <w:rsid w:val="002E4BEB"/>
    <w:rsid w:val="0032232E"/>
    <w:rsid w:val="00331064"/>
    <w:rsid w:val="00334B7B"/>
    <w:rsid w:val="003617F6"/>
    <w:rsid w:val="0036256C"/>
    <w:rsid w:val="00367830"/>
    <w:rsid w:val="00384760"/>
    <w:rsid w:val="003A2FDB"/>
    <w:rsid w:val="003B7658"/>
    <w:rsid w:val="003F7167"/>
    <w:rsid w:val="00401BEE"/>
    <w:rsid w:val="00411BEA"/>
    <w:rsid w:val="0041743D"/>
    <w:rsid w:val="00440807"/>
    <w:rsid w:val="00440ECC"/>
    <w:rsid w:val="00446267"/>
    <w:rsid w:val="00457AC1"/>
    <w:rsid w:val="00463511"/>
    <w:rsid w:val="00464FF8"/>
    <w:rsid w:val="004A297C"/>
    <w:rsid w:val="004B54D9"/>
    <w:rsid w:val="004E38B9"/>
    <w:rsid w:val="004F4CD9"/>
    <w:rsid w:val="004F79F5"/>
    <w:rsid w:val="0051296F"/>
    <w:rsid w:val="00512DC2"/>
    <w:rsid w:val="00517D21"/>
    <w:rsid w:val="005239EA"/>
    <w:rsid w:val="00543340"/>
    <w:rsid w:val="0055128C"/>
    <w:rsid w:val="005605B3"/>
    <w:rsid w:val="00563096"/>
    <w:rsid w:val="005A41C1"/>
    <w:rsid w:val="005A5EA5"/>
    <w:rsid w:val="005C5ACB"/>
    <w:rsid w:val="005C6545"/>
    <w:rsid w:val="005C7202"/>
    <w:rsid w:val="005D5C30"/>
    <w:rsid w:val="005E16AE"/>
    <w:rsid w:val="005E7878"/>
    <w:rsid w:val="005F0D02"/>
    <w:rsid w:val="00606559"/>
    <w:rsid w:val="00611F27"/>
    <w:rsid w:val="00617E1B"/>
    <w:rsid w:val="006309B0"/>
    <w:rsid w:val="006312C6"/>
    <w:rsid w:val="006368C0"/>
    <w:rsid w:val="00643D19"/>
    <w:rsid w:val="00645BBA"/>
    <w:rsid w:val="006614B9"/>
    <w:rsid w:val="00692D69"/>
    <w:rsid w:val="006975A4"/>
    <w:rsid w:val="006A7E15"/>
    <w:rsid w:val="006B4799"/>
    <w:rsid w:val="006C12E6"/>
    <w:rsid w:val="006C2B30"/>
    <w:rsid w:val="006C35AC"/>
    <w:rsid w:val="006E00A3"/>
    <w:rsid w:val="006F32BA"/>
    <w:rsid w:val="00712AFF"/>
    <w:rsid w:val="00733716"/>
    <w:rsid w:val="007A7876"/>
    <w:rsid w:val="007B0675"/>
    <w:rsid w:val="007B309A"/>
    <w:rsid w:val="007B6E53"/>
    <w:rsid w:val="007C426F"/>
    <w:rsid w:val="007D447B"/>
    <w:rsid w:val="007E4A95"/>
    <w:rsid w:val="007E5DFB"/>
    <w:rsid w:val="00812D33"/>
    <w:rsid w:val="00815F08"/>
    <w:rsid w:val="00816E96"/>
    <w:rsid w:val="008174F8"/>
    <w:rsid w:val="008204A0"/>
    <w:rsid w:val="00823377"/>
    <w:rsid w:val="0083335A"/>
    <w:rsid w:val="0083439B"/>
    <w:rsid w:val="00834E42"/>
    <w:rsid w:val="008366D5"/>
    <w:rsid w:val="00841177"/>
    <w:rsid w:val="008665DB"/>
    <w:rsid w:val="00894230"/>
    <w:rsid w:val="00894E68"/>
    <w:rsid w:val="008C2B93"/>
    <w:rsid w:val="008F2417"/>
    <w:rsid w:val="008F7B58"/>
    <w:rsid w:val="00910AEB"/>
    <w:rsid w:val="00911003"/>
    <w:rsid w:val="009228AD"/>
    <w:rsid w:val="00923F02"/>
    <w:rsid w:val="00936D50"/>
    <w:rsid w:val="00937894"/>
    <w:rsid w:val="009737FA"/>
    <w:rsid w:val="0098211A"/>
    <w:rsid w:val="00991FB7"/>
    <w:rsid w:val="009A2095"/>
    <w:rsid w:val="009A259D"/>
    <w:rsid w:val="009B1716"/>
    <w:rsid w:val="009C3516"/>
    <w:rsid w:val="009E3017"/>
    <w:rsid w:val="009F129D"/>
    <w:rsid w:val="009F476A"/>
    <w:rsid w:val="009F6107"/>
    <w:rsid w:val="00A12F9A"/>
    <w:rsid w:val="00A145DA"/>
    <w:rsid w:val="00A202C7"/>
    <w:rsid w:val="00A22D2D"/>
    <w:rsid w:val="00A33ECA"/>
    <w:rsid w:val="00A427E3"/>
    <w:rsid w:val="00A446ED"/>
    <w:rsid w:val="00A50B13"/>
    <w:rsid w:val="00A61EC1"/>
    <w:rsid w:val="00A74267"/>
    <w:rsid w:val="00A84DA6"/>
    <w:rsid w:val="00A856F9"/>
    <w:rsid w:val="00A94471"/>
    <w:rsid w:val="00AB5609"/>
    <w:rsid w:val="00AB7707"/>
    <w:rsid w:val="00AD5562"/>
    <w:rsid w:val="00AD79DD"/>
    <w:rsid w:val="00AE1967"/>
    <w:rsid w:val="00AF0769"/>
    <w:rsid w:val="00B0044C"/>
    <w:rsid w:val="00B07B9A"/>
    <w:rsid w:val="00B1219E"/>
    <w:rsid w:val="00B1582D"/>
    <w:rsid w:val="00B17485"/>
    <w:rsid w:val="00B2079C"/>
    <w:rsid w:val="00B30275"/>
    <w:rsid w:val="00B47045"/>
    <w:rsid w:val="00B47402"/>
    <w:rsid w:val="00B61649"/>
    <w:rsid w:val="00B925B0"/>
    <w:rsid w:val="00BB7627"/>
    <w:rsid w:val="00BD71FF"/>
    <w:rsid w:val="00BF7DAB"/>
    <w:rsid w:val="00C25B72"/>
    <w:rsid w:val="00C3313C"/>
    <w:rsid w:val="00C33BC0"/>
    <w:rsid w:val="00C6275C"/>
    <w:rsid w:val="00C76BE1"/>
    <w:rsid w:val="00CA6E71"/>
    <w:rsid w:val="00CB37AE"/>
    <w:rsid w:val="00CD4E58"/>
    <w:rsid w:val="00CF0C61"/>
    <w:rsid w:val="00CF34E6"/>
    <w:rsid w:val="00D012F4"/>
    <w:rsid w:val="00D2078B"/>
    <w:rsid w:val="00D44B87"/>
    <w:rsid w:val="00D51A16"/>
    <w:rsid w:val="00D63EC0"/>
    <w:rsid w:val="00D743EE"/>
    <w:rsid w:val="00D86E5E"/>
    <w:rsid w:val="00DB6932"/>
    <w:rsid w:val="00DC4CA8"/>
    <w:rsid w:val="00DC747C"/>
    <w:rsid w:val="00DE74C0"/>
    <w:rsid w:val="00DE7B78"/>
    <w:rsid w:val="00E24B0B"/>
    <w:rsid w:val="00E30B51"/>
    <w:rsid w:val="00E47C30"/>
    <w:rsid w:val="00E5348D"/>
    <w:rsid w:val="00EB19BA"/>
    <w:rsid w:val="00EB5EC7"/>
    <w:rsid w:val="00EC2FE8"/>
    <w:rsid w:val="00ED2D2C"/>
    <w:rsid w:val="00ED6CF5"/>
    <w:rsid w:val="00F10F6D"/>
    <w:rsid w:val="00F1287F"/>
    <w:rsid w:val="00F1391B"/>
    <w:rsid w:val="00F15484"/>
    <w:rsid w:val="00F243E7"/>
    <w:rsid w:val="00F50EBA"/>
    <w:rsid w:val="00F750DA"/>
    <w:rsid w:val="00FA74EB"/>
    <w:rsid w:val="00FB51E9"/>
    <w:rsid w:val="00FC7877"/>
    <w:rsid w:val="00FD6AD6"/>
    <w:rsid w:val="00FD7A3E"/>
    <w:rsid w:val="00FE31DE"/>
    <w:rsid w:val="00FF616B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328E"/>
  <w15:docId w15:val="{EDF44B0E-3CDA-4908-8113-86A1A56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42"/>
    <w:pPr>
      <w:keepNext/>
      <w:keepLines/>
      <w:bidi/>
      <w:spacing w:after="0" w:line="240" w:lineRule="auto"/>
      <w:ind w:firstLine="284"/>
      <w:jc w:val="both"/>
    </w:pPr>
    <w:rPr>
      <w:rFonts w:cs="B Lotu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79C"/>
    <w:pPr>
      <w:spacing w:before="60"/>
      <w:ind w:left="284" w:hanging="284"/>
      <w:outlineLvl w:val="0"/>
    </w:pPr>
    <w:rPr>
      <w:rFonts w:asciiTheme="majorHAnsi" w:eastAsiaTheme="majorEastAsia" w:hAnsiTheme="majorHAnsi" w:cs="B Titr"/>
      <w:bCs/>
      <w:color w:val="002060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79C"/>
    <w:pPr>
      <w:spacing w:before="60"/>
      <w:ind w:left="113" w:hanging="113"/>
      <w:outlineLvl w:val="1"/>
    </w:pPr>
    <w:rPr>
      <w:rFonts w:asciiTheme="majorHAnsi" w:eastAsiaTheme="majorEastAsia" w:hAnsiTheme="majorHAnsi" w:cs="B Zar"/>
      <w:bCs/>
      <w:color w:val="385623" w:themeColor="accent6" w:themeShade="80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79C"/>
    <w:pPr>
      <w:spacing w:before="40"/>
      <w:ind w:firstLine="170"/>
      <w:outlineLvl w:val="2"/>
    </w:pPr>
    <w:rPr>
      <w:rFonts w:asciiTheme="majorHAnsi" w:eastAsiaTheme="majorEastAsia" w:hAnsiTheme="majorHAnsi"/>
      <w:bCs/>
      <w:color w:val="C0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79C"/>
    <w:pPr>
      <w:spacing w:before="40"/>
      <w:ind w:firstLine="227"/>
      <w:outlineLvl w:val="3"/>
    </w:pPr>
    <w:rPr>
      <w:rFonts w:asciiTheme="majorHAnsi" w:eastAsiaTheme="majorEastAsia" w:hAnsiTheme="majorHAnsi" w:cs="B Yagut"/>
      <w:bCs/>
      <w:i/>
      <w:color w:val="323E4F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34D"/>
    <w:p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079C"/>
    <w:rPr>
      <w:rFonts w:asciiTheme="majorHAnsi" w:eastAsiaTheme="majorEastAsia" w:hAnsiTheme="majorHAnsi" w:cs="B Titr"/>
      <w:bCs/>
      <w:color w:val="00206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079C"/>
    <w:rPr>
      <w:rFonts w:asciiTheme="majorHAnsi" w:eastAsiaTheme="majorEastAsia" w:hAnsiTheme="majorHAnsi" w:cs="B Zar"/>
      <w:bCs/>
      <w:color w:val="385623" w:themeColor="accent6" w:themeShade="80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079C"/>
    <w:rPr>
      <w:rFonts w:asciiTheme="majorHAnsi" w:eastAsiaTheme="majorEastAsia" w:hAnsiTheme="majorHAnsi" w:cs="B Lotus"/>
      <w:bCs/>
      <w:color w:val="C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79C"/>
    <w:rPr>
      <w:rFonts w:asciiTheme="majorHAnsi" w:eastAsiaTheme="majorEastAsia" w:hAnsiTheme="majorHAnsi" w:cs="B Yagut"/>
      <w:bCs/>
      <w:i/>
      <w:color w:val="323E4F" w:themeColor="text2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6334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0633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2FDB"/>
    <w:pPr>
      <w:tabs>
        <w:tab w:val="right" w:leader="dot" w:pos="9394"/>
      </w:tabs>
      <w:spacing w:after="100"/>
    </w:pPr>
    <w:rPr>
      <w:rFonts w:ascii="Arial Unicode MS" w:eastAsia="Arial Unicode MS" w:hAnsi="Arial Unicode MS" w:cs="Arial Unicode MS"/>
    </w:rPr>
  </w:style>
  <w:style w:type="paragraph" w:styleId="TOC2">
    <w:name w:val="toc 2"/>
    <w:basedOn w:val="Normal"/>
    <w:next w:val="Normal"/>
    <w:autoRedefine/>
    <w:uiPriority w:val="39"/>
    <w:unhideWhenUsed/>
    <w:rsid w:val="000633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334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6334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633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6334D"/>
    <w:pPr>
      <w:spacing w:after="100"/>
      <w:ind w:left="880"/>
    </w:pPr>
  </w:style>
  <w:style w:type="paragraph" w:styleId="ListParagraph">
    <w:name w:val="List Paragraph"/>
    <w:basedOn w:val="Normal"/>
    <w:uiPriority w:val="34"/>
    <w:qFormat/>
    <w:rsid w:val="00F24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A8"/>
    <w:rPr>
      <w:rFonts w:cs="B Lotus"/>
      <w:szCs w:val="26"/>
    </w:rPr>
  </w:style>
  <w:style w:type="paragraph" w:styleId="Footer">
    <w:name w:val="footer"/>
    <w:basedOn w:val="Normal"/>
    <w:link w:val="FooterChar"/>
    <w:uiPriority w:val="99"/>
    <w:unhideWhenUsed/>
    <w:rsid w:val="00DC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A8"/>
    <w:rPr>
      <w:rFonts w:cs="B Lotus"/>
      <w:szCs w:val="26"/>
    </w:rPr>
  </w:style>
  <w:style w:type="paragraph" w:styleId="NoSpacing">
    <w:name w:val="No Spacing"/>
    <w:link w:val="NoSpacingChar"/>
    <w:uiPriority w:val="1"/>
    <w:qFormat/>
    <w:rsid w:val="001477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77F7"/>
    <w:rPr>
      <w:rFonts w:eastAsiaTheme="minorEastAsia"/>
    </w:rPr>
  </w:style>
  <w:style w:type="character" w:customStyle="1" w:styleId="fontstyle01">
    <w:name w:val="fontstyle01"/>
    <w:basedOn w:val="DefaultParagraphFont"/>
    <w:rsid w:val="00085EEF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4A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F7A6D1-3C52-4077-9B70-10715121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رهنمود ستاژ پوهنحی طب معالجه وی پوهنتون غالب</vt:lpstr>
    </vt:vector>
  </TitlesOfParts>
  <Company>آمریت دیپارتمنت داخله دندان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رهنمود ستاژ پوهنحی طب معالجه وی پوهنتون غالب</dc:title>
  <dc:creator>1400 – 1404</dc:creator>
  <cp:lastModifiedBy>Windows User</cp:lastModifiedBy>
  <cp:revision>25</cp:revision>
  <cp:lastPrinted>2022-07-20T10:10:00Z</cp:lastPrinted>
  <dcterms:created xsi:type="dcterms:W3CDTF">2022-06-24T16:16:00Z</dcterms:created>
  <dcterms:modified xsi:type="dcterms:W3CDTF">2022-07-24T10:03:00Z</dcterms:modified>
</cp:coreProperties>
</file>